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9EE5" w14:textId="77777777" w:rsidR="00F63C08" w:rsidRPr="00BF7DE6" w:rsidRDefault="00F63C08" w:rsidP="00F63C08">
      <w:pPr>
        <w:rPr>
          <w:b/>
          <w:bCs/>
          <w:sz w:val="24"/>
          <w:szCs w:val="24"/>
        </w:rPr>
      </w:pPr>
      <w:r w:rsidRPr="00BF7DE6">
        <w:rPr>
          <w:b/>
          <w:bCs/>
          <w:sz w:val="24"/>
          <w:szCs w:val="24"/>
        </w:rPr>
        <w:t xml:space="preserve">2021: </w:t>
      </w:r>
      <w:r w:rsidR="00AE4944" w:rsidRPr="00BF7DE6">
        <w:rPr>
          <w:b/>
          <w:bCs/>
          <w:sz w:val="24"/>
          <w:szCs w:val="24"/>
        </w:rPr>
        <w:t>VÝROČNÍ ZPRÁVA</w:t>
      </w:r>
      <w:r w:rsidRPr="00BF7DE6">
        <w:rPr>
          <w:b/>
          <w:bCs/>
          <w:sz w:val="24"/>
          <w:szCs w:val="24"/>
        </w:rPr>
        <w:t xml:space="preserve"> </w:t>
      </w:r>
    </w:p>
    <w:p w14:paraId="72A581DF" w14:textId="0947AC75" w:rsidR="00F63C08" w:rsidRDefault="00F63C08" w:rsidP="00F63C08">
      <w:r>
        <w:t xml:space="preserve">společnosti </w:t>
      </w:r>
      <w:r w:rsidRPr="00BF7DE6">
        <w:rPr>
          <w:b/>
          <w:bCs/>
        </w:rPr>
        <w:t>Moventum a.s.</w:t>
      </w:r>
    </w:p>
    <w:p w14:paraId="653CA7E9" w14:textId="527435EE" w:rsidR="00AE4944" w:rsidRDefault="00AE4944" w:rsidP="00F000E1">
      <w:r>
        <w:t>za období</w:t>
      </w:r>
      <w:r w:rsidR="00F63C08">
        <w:t xml:space="preserve"> </w:t>
      </w:r>
      <w:r>
        <w:t>01.01.2021 - 31.12.2021</w:t>
      </w:r>
    </w:p>
    <w:p w14:paraId="2EF3A2CB" w14:textId="79ED9B7B" w:rsidR="00AE4944" w:rsidRDefault="00B17DAD" w:rsidP="00F000E1">
      <w:r>
        <w:t xml:space="preserve">se </w:t>
      </w:r>
      <w:r w:rsidR="00AE4944">
        <w:t>sídlem:</w:t>
      </w:r>
      <w:r>
        <w:t xml:space="preserve"> </w:t>
      </w:r>
      <w:r w:rsidR="00AE4944">
        <w:t>Bašty 413/2, Brno-město, 602 00 Brno</w:t>
      </w:r>
    </w:p>
    <w:p w14:paraId="4E17B541" w14:textId="6FE7FD2C" w:rsidR="00AE4944" w:rsidRDefault="00AE4944" w:rsidP="00F000E1">
      <w:r>
        <w:t>IČ 06413404</w:t>
      </w:r>
      <w:r w:rsidR="00B17DAD">
        <w:t>, v</w:t>
      </w:r>
      <w:r>
        <w:t>edená u Krajského soudu v Brně, spisová značka B 7826</w:t>
      </w:r>
    </w:p>
    <w:p w14:paraId="0CFB72AA" w14:textId="1C8A5800" w:rsidR="00AE4944" w:rsidRDefault="00AE4944" w:rsidP="00F000E1"/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1906637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98422" w14:textId="43F56938" w:rsidR="00122260" w:rsidRDefault="00122260">
          <w:pPr>
            <w:pStyle w:val="Nadpisobsahu"/>
          </w:pPr>
          <w:r>
            <w:t>Obsah</w:t>
          </w:r>
        </w:p>
        <w:p w14:paraId="25DB3B87" w14:textId="476EDF54" w:rsidR="00122260" w:rsidRPr="00122260" w:rsidRDefault="00122260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598791" w:history="1">
            <w:r w:rsidRPr="00122260">
              <w:rPr>
                <w:rStyle w:val="Hypertextovodkaz"/>
                <w:noProof/>
                <w:sz w:val="18"/>
                <w:szCs w:val="18"/>
              </w:rPr>
              <w:t>Úvodem</w:t>
            </w:r>
            <w:r w:rsidRPr="00122260">
              <w:rPr>
                <w:noProof/>
                <w:webHidden/>
                <w:sz w:val="18"/>
                <w:szCs w:val="18"/>
              </w:rPr>
              <w:tab/>
            </w:r>
            <w:r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Pr="00122260">
              <w:rPr>
                <w:noProof/>
                <w:webHidden/>
                <w:sz w:val="18"/>
                <w:szCs w:val="18"/>
              </w:rPr>
              <w:instrText xml:space="preserve"> PAGEREF _Toc100598791 \h </w:instrText>
            </w:r>
            <w:r w:rsidRPr="00122260">
              <w:rPr>
                <w:noProof/>
                <w:webHidden/>
                <w:sz w:val="18"/>
                <w:szCs w:val="18"/>
              </w:rPr>
            </w:r>
            <w:r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122260">
              <w:rPr>
                <w:noProof/>
                <w:webHidden/>
                <w:sz w:val="18"/>
                <w:szCs w:val="18"/>
              </w:rPr>
              <w:t>2</w:t>
            </w:r>
            <w:r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877B30" w14:textId="4D446643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2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Základní informace o společnosti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_Toc100598792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2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68DD5C6" w14:textId="33284431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3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Právní vztahy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_Toc100598793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2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4EF801" w14:textId="475C90BE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4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Organizační struktura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_Toc100598794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8D0793" w14:textId="2647B740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5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Rozvoj činností a postavení účetní jednotky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_Toc100598795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7683145" w14:textId="4F421865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6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Finanční ukazatele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_Toc100598796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3371DF9" w14:textId="22D5ABC7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7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Kapitálové poměry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_Toc100598797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485DE9B" w14:textId="5015AE81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8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Poměrové ukazatele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_Toc100598798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B9B19B" w14:textId="49F947EB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799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Události po rozvahovém dni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_Toc100598799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DF6437" w14:textId="415A8C61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0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Předpokládaný vývoj činnosti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_Toc100598800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149B2D" w14:textId="24BE4FEF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1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Aktivity v oblasti výzkumu a vývoje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_Toc100598801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91D74D" w14:textId="50F1C90C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2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Nabytí vlastních akcií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_Toc100598802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FD8988" w14:textId="29366C5C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3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Aktivity v oblasti ochrany životního prostředí a pracovněprávních vztahů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_Toc100598803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091D0BE" w14:textId="4D826ECE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4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Pobočka nebo jiná část v zahraničí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_Toc100598804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01D48D" w14:textId="48C83B68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5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Další informace (§ 21 odst. 2 písm. g) zákona č. 563/1991 Sb.)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_Toc100598805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3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4402A9" w14:textId="69364415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6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Zpráva auditora o opatřeních v oblasti zákaznického majetku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_Toc100598806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26D447" w14:textId="3710C2AD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7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Finanční výkazy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_Toc100598807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AAA7B31" w14:textId="28027B3D" w:rsidR="00122260" w:rsidRPr="00122260" w:rsidRDefault="00086AD9">
          <w:pPr>
            <w:pStyle w:val="Obsah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8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Zpráva o vztazích mezi ovládající osobou a ovládanou osobou a mezi ovládanou osobou a subjekty ovládanými stejnou ovládající osobou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_Toc100598808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44C0A5" w14:textId="5E8C5484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09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Seznam propojených subjektu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_Toc100598809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D9F5C7A" w14:textId="0BF685AA" w:rsidR="00122260" w:rsidRPr="00122260" w:rsidRDefault="00086AD9">
          <w:pPr>
            <w:pStyle w:val="Obsah3"/>
            <w:tabs>
              <w:tab w:val="left" w:pos="8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0" w:history="1">
            <w:r w:rsidR="00122260" w:rsidRPr="00122260">
              <w:rPr>
                <w:rStyle w:val="Hypertextovodkaz"/>
                <w:rFonts w:ascii="Wingdings" w:hAnsi="Wingdings"/>
                <w:noProof/>
                <w:sz w:val="18"/>
                <w:szCs w:val="18"/>
              </w:rPr>
              <w:t></w:t>
            </w:r>
            <w:r w:rsidR="00122260" w:rsidRPr="00122260">
              <w:rPr>
                <w:noProof/>
                <w:sz w:val="18"/>
                <w:szCs w:val="18"/>
              </w:rPr>
              <w:tab/>
            </w:r>
            <w:r w:rsidR="00122260" w:rsidRPr="00122260">
              <w:rPr>
                <w:rStyle w:val="Hypertextovodkaz"/>
                <w:noProof/>
                <w:sz w:val="18"/>
                <w:szCs w:val="18"/>
              </w:rPr>
              <w:t>Ovládaná osoba (podle § 74 ZOK)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_Toc100598810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AB6254" w14:textId="15478DA7" w:rsidR="00122260" w:rsidRPr="00122260" w:rsidRDefault="00086AD9">
          <w:pPr>
            <w:pStyle w:val="Obsah3"/>
            <w:tabs>
              <w:tab w:val="left" w:pos="8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1" w:history="1">
            <w:r w:rsidR="00122260" w:rsidRPr="00122260">
              <w:rPr>
                <w:rStyle w:val="Hypertextovodkaz"/>
                <w:rFonts w:ascii="Wingdings" w:hAnsi="Wingdings"/>
                <w:noProof/>
                <w:sz w:val="18"/>
                <w:szCs w:val="18"/>
              </w:rPr>
              <w:t></w:t>
            </w:r>
            <w:r w:rsidR="00122260" w:rsidRPr="00122260">
              <w:rPr>
                <w:noProof/>
                <w:sz w:val="18"/>
                <w:szCs w:val="18"/>
              </w:rPr>
              <w:tab/>
            </w:r>
            <w:r w:rsidR="00122260" w:rsidRPr="00122260">
              <w:rPr>
                <w:rStyle w:val="Hypertextovodkaz"/>
                <w:noProof/>
                <w:sz w:val="18"/>
                <w:szCs w:val="18"/>
              </w:rPr>
              <w:t>Ovládající osoba (podle § 74 ZOK)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_Toc100598811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E7F83A" w14:textId="399D10E0" w:rsidR="00122260" w:rsidRPr="00122260" w:rsidRDefault="00086AD9">
          <w:pPr>
            <w:pStyle w:val="Obsah3"/>
            <w:tabs>
              <w:tab w:val="left" w:pos="8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2" w:history="1">
            <w:r w:rsidR="00122260" w:rsidRPr="00122260">
              <w:rPr>
                <w:rStyle w:val="Hypertextovodkaz"/>
                <w:rFonts w:ascii="Wingdings" w:hAnsi="Wingdings"/>
                <w:noProof/>
                <w:sz w:val="18"/>
                <w:szCs w:val="18"/>
              </w:rPr>
              <w:t></w:t>
            </w:r>
            <w:r w:rsidR="00122260" w:rsidRPr="00122260">
              <w:rPr>
                <w:noProof/>
                <w:sz w:val="18"/>
                <w:szCs w:val="18"/>
              </w:rPr>
              <w:tab/>
            </w:r>
            <w:r w:rsidR="00122260" w:rsidRPr="00122260">
              <w:rPr>
                <w:rStyle w:val="Hypertextovodkaz"/>
                <w:noProof/>
                <w:sz w:val="18"/>
                <w:szCs w:val="18"/>
              </w:rPr>
              <w:t>Subjekty ovládané stejnou ovládající osobou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_Toc100598812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2A7608" w14:textId="47D892C9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3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Úloha ovládané osoby, metody a prostředky kontroly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_Toc100598813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7FEC3C8" w14:textId="4F0991FF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4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Seznam úkonů provedených v posledním účetním období na popud nebo v zájmu ovládající osoby nebo ovládaných subjektů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_Toc100598814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4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A9B650" w14:textId="695056D9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5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Seznam vzájemných smluv mezi ovládanou osobou a ovládající osobou a mezi ovládanými osobami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_Toc100598815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5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C3D715" w14:textId="4AC3B661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6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Posouzení, zda byla ovládané osobě způsobena újma, a posouzení náhrady škody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_Toc100598816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5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41F0711" w14:textId="69184561" w:rsidR="00122260" w:rsidRPr="00122260" w:rsidRDefault="00086AD9">
          <w:pPr>
            <w:pStyle w:val="Obsah2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100598817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Hodnocení výhod a nevýhod vyplývajících ze vztahů mezi ovládající osobou a ovládanou osobou a mezi ovládanou osobou a subjekty ovládanými stejnou ovládající osobou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_Toc100598817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5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55EC0C4" w14:textId="7B355DDA" w:rsidR="00122260" w:rsidRDefault="00086AD9">
          <w:pPr>
            <w:pStyle w:val="Obsah1"/>
            <w:tabs>
              <w:tab w:val="right" w:leader="dot" w:pos="10456"/>
            </w:tabs>
            <w:rPr>
              <w:noProof/>
            </w:rPr>
          </w:pPr>
          <w:hyperlink w:anchor="_Toc100598818" w:history="1">
            <w:r w:rsidR="00122260" w:rsidRPr="00122260">
              <w:rPr>
                <w:rStyle w:val="Hypertextovodkaz"/>
                <w:noProof/>
                <w:sz w:val="18"/>
                <w:szCs w:val="18"/>
              </w:rPr>
              <w:t>Zpráva nezávislého auditora k účetní závěrce</w:t>
            </w:r>
            <w:r w:rsidR="00122260" w:rsidRPr="00122260">
              <w:rPr>
                <w:noProof/>
                <w:webHidden/>
                <w:sz w:val="18"/>
                <w:szCs w:val="18"/>
              </w:rPr>
              <w:tab/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begin"/>
            </w:r>
            <w:r w:rsidR="00122260" w:rsidRPr="00122260">
              <w:rPr>
                <w:noProof/>
                <w:webHidden/>
                <w:sz w:val="18"/>
                <w:szCs w:val="18"/>
              </w:rPr>
              <w:instrText xml:space="preserve"> PAGEREF _Toc100598818 \h </w:instrText>
            </w:r>
            <w:r w:rsidR="00122260" w:rsidRPr="00122260">
              <w:rPr>
                <w:noProof/>
                <w:webHidden/>
                <w:sz w:val="18"/>
                <w:szCs w:val="18"/>
              </w:rPr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22260" w:rsidRPr="00122260">
              <w:rPr>
                <w:noProof/>
                <w:webHidden/>
                <w:sz w:val="18"/>
                <w:szCs w:val="18"/>
              </w:rPr>
              <w:t>5</w:t>
            </w:r>
            <w:r w:rsidR="00122260" w:rsidRPr="0012226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3EFC72" w14:textId="495E5BD2" w:rsidR="00122260" w:rsidRDefault="00122260">
          <w:r>
            <w:rPr>
              <w:b/>
              <w:bCs/>
            </w:rPr>
            <w:fldChar w:fldCharType="end"/>
          </w:r>
        </w:p>
      </w:sdtContent>
    </w:sdt>
    <w:p w14:paraId="4213A79E" w14:textId="77777777" w:rsidR="0016322D" w:rsidRDefault="0016322D" w:rsidP="00F000E1"/>
    <w:p w14:paraId="19505262" w14:textId="58F9875C" w:rsidR="00AE4944" w:rsidRDefault="001819C9" w:rsidP="00464212">
      <w:pPr>
        <w:pStyle w:val="Nadpis1"/>
      </w:pPr>
      <w:bookmarkStart w:id="0" w:name="_Toc100598791"/>
      <w:r>
        <w:lastRenderedPageBreak/>
        <w:t>Úvodem</w:t>
      </w:r>
      <w:bookmarkEnd w:id="0"/>
    </w:p>
    <w:p w14:paraId="63823991" w14:textId="77777777" w:rsidR="00AE4944" w:rsidRDefault="00AE4944" w:rsidP="00F000E1">
      <w:r>
        <w:t>Finanční skupina Moventum působí v řadě zemí Evropy a světa jako poskytovatel služeb v oblasti finančních produktů a jejich distribuce. V řadě zemí jsou její subjekty licencované podle příslušných evropských nebo národních úprav pro poskytování investičních služeb. Skupina Moventum se především zaměřuje na služby spojené s investičními fondy. Cílem skupiny je nadále rozvíjet úspěšný model distribuce investičních fondů, a to jak globálně, tak v České republice a zvyšovat nadále svou přítomnost na českém trhu.</w:t>
      </w:r>
    </w:p>
    <w:p w14:paraId="15E768B0" w14:textId="77777777" w:rsidR="00AE4944" w:rsidRDefault="00AE4944" w:rsidP="00F000E1">
      <w:r>
        <w:t>V důsledku novely zákona o podnikání na kapitálových trzích, která vstoupila v platnost 3. ledna 2018, ztratili čeští investiční zprostředkovatelé možnost předávat pokyny, týkající se nákupu a prodeje investičních nástrojů, přímo zahraničním poskytovatelům investičních služeb. Tato činnost byla nadále omezena na obchodníky s cennými papíry, podnikající v České republice. Za účelem pokračování své činnosti na českém trhu tedy skupina Moventum založila společnost Moventum a.s. se sídlem v České republice. Společnost po registraci 8. září 2017 požádala Českou národní banku o povolení k činnosti jako obchodník s cennými papíry. Licence byla společnosti Moventum a.s. udělena 23. května 2019.</w:t>
      </w:r>
    </w:p>
    <w:p w14:paraId="69A7E8D3" w14:textId="77777777" w:rsidR="00AE4944" w:rsidRDefault="00AE4944" w:rsidP="00F000E1">
      <w:r>
        <w:t>Rozsahem činnosti společnosti Moventum a.s. je poskytovat jako obchodník s cennými papíry v České republice tyto investiční služby:</w:t>
      </w:r>
    </w:p>
    <w:p w14:paraId="699BCC07" w14:textId="77777777" w:rsidR="00AE4944" w:rsidRDefault="00AE4944" w:rsidP="001819C9">
      <w:pPr>
        <w:ind w:left="1134"/>
      </w:pPr>
      <w:r>
        <w:t>•</w:t>
      </w:r>
      <w:r>
        <w:tab/>
        <w:t>příjímání a předávání pokynů,</w:t>
      </w:r>
    </w:p>
    <w:p w14:paraId="18EF1F88" w14:textId="77777777" w:rsidR="00AE4944" w:rsidRDefault="00AE4944" w:rsidP="001819C9">
      <w:pPr>
        <w:ind w:left="1134"/>
      </w:pPr>
      <w:r>
        <w:t>•</w:t>
      </w:r>
      <w:r>
        <w:tab/>
        <w:t>investiční výzkum a finanční analýza nebo jiné formy obecných doporučení týkajících se obchodování s investičními nástroji.</w:t>
      </w:r>
    </w:p>
    <w:p w14:paraId="289968F8" w14:textId="77777777" w:rsidR="00AE4944" w:rsidRDefault="00AE4944" w:rsidP="00F000E1">
      <w:r>
        <w:t>V souladu s povolením ČNB je činnost Moventum a.s. omezena na předávání pokynů klientů investičních zprostředkovatelů směrem k zahraničním nebo českým poskytovatelům investičních služeb, a to výhradně ve vztahu k cenným papírům sektoru kolektivního investování.</w:t>
      </w:r>
    </w:p>
    <w:p w14:paraId="205CAD4A" w14:textId="77777777" w:rsidR="00AE4944" w:rsidRDefault="00AE4944" w:rsidP="00F000E1">
      <w:r>
        <w:t>Činnost společnosti Moventum a.s. jsou soustavně předmětem dohledu České národní banky, předmětem pravidelné vnitřní kontroly jednotlivými složkami řídícího a kontrolního systému a případně kontroly třetími subjekty. Vedle existující činnosti se společnost zaměřuje na získávání nových obchodních partnerů, další zefektivnění provozu a rozvoj nových produktů.</w:t>
      </w:r>
    </w:p>
    <w:p w14:paraId="7C60CC55" w14:textId="0D770B1C" w:rsidR="00AE4944" w:rsidRDefault="00AE4944" w:rsidP="00464212">
      <w:pPr>
        <w:pStyle w:val="Nadpis1"/>
      </w:pPr>
      <w:bookmarkStart w:id="1" w:name="_Toc100598792"/>
      <w:r>
        <w:t>Základní informace o společnosti</w:t>
      </w:r>
      <w:bookmarkEnd w:id="1"/>
    </w:p>
    <w:p w14:paraId="1F6728C0" w14:textId="53931C80" w:rsidR="00D31353" w:rsidRPr="00D31353" w:rsidRDefault="00D31353" w:rsidP="00D31353">
      <w:pPr>
        <w:pStyle w:val="Poznmkapodarou"/>
      </w:pPr>
      <w:r w:rsidRPr="00D31353">
        <w:t>(§ 21 odst. 1 zákona č. 563/1991 Sb.)</w:t>
      </w:r>
    </w:p>
    <w:p w14:paraId="191960AF" w14:textId="2AF1F595" w:rsidR="00AE4944" w:rsidRPr="001819C9" w:rsidRDefault="00AE4944" w:rsidP="008167AA">
      <w:pPr>
        <w:pStyle w:val="Nadpis2"/>
      </w:pPr>
      <w:bookmarkStart w:id="2" w:name="_Toc100598793"/>
      <w:r w:rsidRPr="001819C9">
        <w:t>Právní vztahy</w:t>
      </w:r>
      <w:bookmarkEnd w:id="2"/>
    </w:p>
    <w:p w14:paraId="257A2BE1" w14:textId="6CC972C2" w:rsidR="00AE4944" w:rsidRDefault="00AE4944" w:rsidP="00F000E1">
      <w:r>
        <w:t>Společnost:</w:t>
      </w:r>
      <w:r>
        <w:tab/>
      </w:r>
      <w:r>
        <w:tab/>
      </w:r>
      <w:r>
        <w:tab/>
        <w:t xml:space="preserve">Moventum a.s. </w:t>
      </w:r>
    </w:p>
    <w:p w14:paraId="698CB40C" w14:textId="77777777" w:rsidR="00AE4944" w:rsidRDefault="00AE4944" w:rsidP="00F000E1">
      <w:r>
        <w:t>Právní forma:</w:t>
      </w:r>
      <w:r>
        <w:tab/>
      </w:r>
      <w:r>
        <w:tab/>
      </w:r>
      <w:r>
        <w:tab/>
        <w:t>akciová společnost</w:t>
      </w:r>
    </w:p>
    <w:p w14:paraId="15FF7F0D" w14:textId="77777777" w:rsidR="00AE4944" w:rsidRDefault="00AE4944" w:rsidP="00F000E1">
      <w:r>
        <w:t>Sídlo:</w:t>
      </w:r>
      <w:r>
        <w:tab/>
      </w:r>
      <w:r>
        <w:tab/>
      </w:r>
      <w:r>
        <w:tab/>
      </w:r>
      <w:r>
        <w:tab/>
        <w:t>Bašty 413/2, Brno-město, 602 00 Brno</w:t>
      </w:r>
    </w:p>
    <w:p w14:paraId="42B8DA15" w14:textId="77777777" w:rsidR="00AE4944" w:rsidRDefault="00AE4944" w:rsidP="00F000E1">
      <w:r>
        <w:t>Identifikační číslo:</w:t>
      </w:r>
      <w:r>
        <w:tab/>
      </w:r>
      <w:r>
        <w:tab/>
        <w:t>06413404</w:t>
      </w:r>
    </w:p>
    <w:p w14:paraId="46D0D28E" w14:textId="77777777" w:rsidR="00AE4944" w:rsidRDefault="00AE4944" w:rsidP="001819C9">
      <w:pPr>
        <w:ind w:left="2830" w:hanging="2830"/>
      </w:pPr>
      <w:r>
        <w:t>Předmět činnosti:</w:t>
      </w:r>
      <w:r>
        <w:tab/>
      </w:r>
      <w:r>
        <w:tab/>
        <w:t>výkon činnosti obchodníka s cennými papíry v rozsahu povolení uděleném dle zvláštního zákona:</w:t>
      </w:r>
    </w:p>
    <w:p w14:paraId="542A63B5" w14:textId="77777777" w:rsidR="00AE4944" w:rsidRDefault="00AE4944" w:rsidP="001819C9">
      <w:pPr>
        <w:ind w:left="2835"/>
      </w:pPr>
      <w:r>
        <w:t>přijímání a předávání pokynů týkajících se investičních nástrojů, a to ve vztahu k investičním nástrojům podle § 3 odst. 1 písm. b) zákona č. 256/2004 Sb., v platném znění,</w:t>
      </w:r>
    </w:p>
    <w:p w14:paraId="793FF396" w14:textId="77777777" w:rsidR="00AE4944" w:rsidRDefault="00AE4944" w:rsidP="001819C9">
      <w:pPr>
        <w:ind w:left="2835"/>
      </w:pPr>
      <w:r>
        <w:t>investiční výzkum a finanční analýza nebo jiné formy obecných doporučení týkajících se obchodování s investičními nástroji (podle § 4 odst. 1 písm. d) zákona č. 256/2004 Sb., v platném znění), a to ve vztahu k investičním nástrojům podle § 3 odst. 1 písm. b) zákona č. 256/2004 Sb., v platném znění.</w:t>
      </w:r>
    </w:p>
    <w:p w14:paraId="6507A123" w14:textId="0DF25024" w:rsidR="00AE4944" w:rsidRDefault="00AE4944" w:rsidP="00F000E1">
      <w:r>
        <w:t>Datum založení:</w:t>
      </w:r>
      <w:r>
        <w:tab/>
      </w:r>
      <w:r>
        <w:tab/>
      </w:r>
      <w:r>
        <w:tab/>
        <w:t>08.09.2017</w:t>
      </w:r>
    </w:p>
    <w:p w14:paraId="3C3ECDDC" w14:textId="350DBD29" w:rsidR="00AE4944" w:rsidRDefault="00AE4944" w:rsidP="00F000E1">
      <w:r>
        <w:t>Statutární orgán:</w:t>
      </w:r>
      <w:r>
        <w:tab/>
      </w:r>
      <w:r>
        <w:tab/>
      </w:r>
      <w:r w:rsidR="001819C9">
        <w:tab/>
      </w:r>
      <w:r>
        <w:t>představenstvo</w:t>
      </w:r>
    </w:p>
    <w:p w14:paraId="507C2B2D" w14:textId="77777777" w:rsidR="00AE4944" w:rsidRDefault="00AE4944" w:rsidP="00F000E1">
      <w:r>
        <w:t>Za společnost jednají:</w:t>
      </w:r>
      <w:r>
        <w:tab/>
      </w:r>
      <w:r>
        <w:tab/>
        <w:t>předseda představenstva Andreas Pál a člen představenstva Daniel Melichar</w:t>
      </w:r>
    </w:p>
    <w:p w14:paraId="0E559325" w14:textId="77777777" w:rsidR="00AE4944" w:rsidRDefault="00AE4944" w:rsidP="00F000E1">
      <w:r>
        <w:t>Další orgány společnosti:</w:t>
      </w:r>
      <w:r>
        <w:tab/>
      </w:r>
      <w:r>
        <w:tab/>
        <w:t>Dozorčí rada</w:t>
      </w:r>
    </w:p>
    <w:p w14:paraId="06AA416D" w14:textId="77777777" w:rsidR="00AE4944" w:rsidRDefault="00AE4944" w:rsidP="00F000E1">
      <w:r>
        <w:t>Základní kapitál:</w:t>
      </w:r>
      <w:r>
        <w:tab/>
      </w:r>
      <w:r>
        <w:tab/>
      </w:r>
      <w:r>
        <w:tab/>
        <w:t>2.000.000,00 Kč</w:t>
      </w:r>
    </w:p>
    <w:p w14:paraId="1A1F6ECD" w14:textId="77777777" w:rsidR="00AE4944" w:rsidRDefault="00AE4944" w:rsidP="00F000E1">
      <w:r>
        <w:lastRenderedPageBreak/>
        <w:t>Rozvahové datum:</w:t>
      </w:r>
      <w:r>
        <w:tab/>
      </w:r>
      <w:r>
        <w:tab/>
        <w:t>31.12.2021</w:t>
      </w:r>
    </w:p>
    <w:p w14:paraId="2F0660DA" w14:textId="77777777" w:rsidR="00AE4944" w:rsidRDefault="00AE4944" w:rsidP="00F000E1">
      <w:r>
        <w:t>Vykazované období:</w:t>
      </w:r>
      <w:r>
        <w:tab/>
      </w:r>
      <w:r>
        <w:tab/>
        <w:t>01.01.2021 - 31.12.2021</w:t>
      </w:r>
    </w:p>
    <w:p w14:paraId="78825E62" w14:textId="32E34DE1" w:rsidR="00AE4944" w:rsidRPr="008167AA" w:rsidRDefault="00AE4944" w:rsidP="008167AA">
      <w:pPr>
        <w:pStyle w:val="Nadpis2"/>
      </w:pPr>
      <w:bookmarkStart w:id="3" w:name="_Toc100598794"/>
      <w:r w:rsidRPr="008167AA">
        <w:t>Organizační struktura</w:t>
      </w:r>
      <w:bookmarkEnd w:id="3"/>
    </w:p>
    <w:p w14:paraId="100A30C1" w14:textId="77777777" w:rsidR="00AE4944" w:rsidRDefault="00AE4944" w:rsidP="00F000E1">
      <w:r>
        <w:t>Organizační struktura společnosti je graficky znázorněna na ilustraci.</w:t>
      </w:r>
    </w:p>
    <w:p w14:paraId="5B49711F" w14:textId="3E7086B4" w:rsidR="008167AA" w:rsidRDefault="008167AA" w:rsidP="00F000E1">
      <w:r>
        <w:rPr>
          <w:noProof/>
        </w:rPr>
        <w:drawing>
          <wp:inline distT="0" distB="0" distL="0" distR="0" wp14:anchorId="7DEC74CA" wp14:editId="02D7EC0C">
            <wp:extent cx="6645910" cy="20574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1329" w14:textId="3E0577E4" w:rsidR="00AE4944" w:rsidRDefault="00AE4944" w:rsidP="00464212">
      <w:pPr>
        <w:pStyle w:val="Nadpis1"/>
      </w:pPr>
      <w:bookmarkStart w:id="4" w:name="_Toc100598795"/>
      <w:r>
        <w:t>Rozvoj činností a postavení účetní jednotky</w:t>
      </w:r>
      <w:bookmarkEnd w:id="4"/>
      <w:r w:rsidR="006D76B9">
        <w:t xml:space="preserve"> </w:t>
      </w:r>
    </w:p>
    <w:p w14:paraId="76F8D752" w14:textId="43695867" w:rsidR="008167AA" w:rsidRDefault="008167AA" w:rsidP="008167AA">
      <w:pPr>
        <w:pStyle w:val="Poznmkapodarou"/>
      </w:pPr>
      <w:r>
        <w:t>(§ 21 odst. 1 a 4 zákona č. 563/1991 Sb.)</w:t>
      </w:r>
    </w:p>
    <w:p w14:paraId="40E85AB9" w14:textId="72D52BA9" w:rsidR="00AE4944" w:rsidRDefault="00AE4944" w:rsidP="00F000E1">
      <w:r>
        <w:t>Společnost dosáhla následujících hospodářských výsledků:</w:t>
      </w:r>
    </w:p>
    <w:tbl>
      <w:tblPr>
        <w:tblW w:w="6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1270"/>
        <w:gridCol w:w="1270"/>
        <w:gridCol w:w="1270"/>
      </w:tblGrid>
      <w:tr w:rsidR="006D76B9" w:rsidRPr="006D76B9" w14:paraId="31F246C3" w14:textId="77777777" w:rsidTr="0052012D">
        <w:trPr>
          <w:trHeight w:val="37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452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v tisících Kč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842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Zisk / ztráta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B074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Čistý obrat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B03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Rozvaha celkem</w:t>
            </w:r>
          </w:p>
        </w:tc>
      </w:tr>
      <w:tr w:rsidR="006D76B9" w:rsidRPr="006D76B9" w14:paraId="10A316E1" w14:textId="77777777" w:rsidTr="0052012D">
        <w:trPr>
          <w:trHeight w:val="371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40F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Vykazované období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64A" w14:textId="282FC4AE" w:rsidR="006D76B9" w:rsidRPr="001C7F04" w:rsidRDefault="006D76B9" w:rsidP="00F000E1">
            <w:pPr>
              <w:rPr>
                <w:lang w:eastAsia="cs-CZ"/>
              </w:rPr>
            </w:pPr>
            <w:r w:rsidRPr="001C7F04">
              <w:rPr>
                <w:lang w:eastAsia="cs-CZ"/>
              </w:rPr>
              <w:t> </w:t>
            </w:r>
            <w:r w:rsidR="00812DF6" w:rsidRPr="001C7F04">
              <w:rPr>
                <w:lang w:eastAsia="cs-CZ"/>
              </w:rPr>
              <w:t>183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941" w14:textId="1266BE2D" w:rsidR="006D76B9" w:rsidRPr="001C7F04" w:rsidRDefault="00471CE8" w:rsidP="00F000E1">
            <w:pPr>
              <w:rPr>
                <w:lang w:eastAsia="cs-CZ"/>
              </w:rPr>
            </w:pPr>
            <w:r w:rsidRPr="001C7F04">
              <w:rPr>
                <w:lang w:eastAsia="cs-CZ"/>
              </w:rPr>
              <w:t>4.929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18B" w14:textId="1AE079DC" w:rsidR="006D76B9" w:rsidRPr="001C7F04" w:rsidRDefault="006D76B9" w:rsidP="00F000E1">
            <w:pPr>
              <w:rPr>
                <w:lang w:eastAsia="cs-CZ"/>
              </w:rPr>
            </w:pPr>
            <w:r w:rsidRPr="001C7F04">
              <w:rPr>
                <w:lang w:eastAsia="cs-CZ"/>
              </w:rPr>
              <w:t> </w:t>
            </w:r>
            <w:r w:rsidR="00BD4373" w:rsidRPr="001C7F04">
              <w:rPr>
                <w:lang w:eastAsia="cs-CZ"/>
              </w:rPr>
              <w:t>4.095</w:t>
            </w:r>
          </w:p>
        </w:tc>
      </w:tr>
      <w:tr w:rsidR="006D76B9" w:rsidRPr="006D76B9" w14:paraId="1898DB37" w14:textId="77777777" w:rsidTr="0052012D">
        <w:trPr>
          <w:trHeight w:val="371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FFF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Minulé období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A48F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461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381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4.646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B8BB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2.631</w:t>
            </w:r>
          </w:p>
        </w:tc>
      </w:tr>
      <w:tr w:rsidR="006D76B9" w:rsidRPr="006D76B9" w14:paraId="3D391E0E" w14:textId="77777777" w:rsidTr="0052012D">
        <w:trPr>
          <w:trHeight w:val="371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B6E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Období před minulým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B9F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-4.052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B25F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1.880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EE1" w14:textId="77777777" w:rsidR="006D76B9" w:rsidRPr="006D76B9" w:rsidRDefault="006D76B9" w:rsidP="00F000E1">
            <w:pPr>
              <w:rPr>
                <w:lang w:eastAsia="cs-CZ"/>
              </w:rPr>
            </w:pPr>
            <w:r w:rsidRPr="006D76B9">
              <w:rPr>
                <w:lang w:eastAsia="cs-CZ"/>
              </w:rPr>
              <w:t>3.141</w:t>
            </w:r>
          </w:p>
        </w:tc>
      </w:tr>
    </w:tbl>
    <w:p w14:paraId="6B92BD9D" w14:textId="78B1686A" w:rsidR="00AE4944" w:rsidRDefault="00AE4944" w:rsidP="00464212">
      <w:pPr>
        <w:pStyle w:val="Nadpis1"/>
      </w:pPr>
      <w:bookmarkStart w:id="5" w:name="_Toc100598796"/>
      <w:r>
        <w:t>Finanční ukazatele</w:t>
      </w:r>
      <w:bookmarkEnd w:id="5"/>
    </w:p>
    <w:p w14:paraId="300ADE04" w14:textId="4D9482BC" w:rsidR="00AE4944" w:rsidRDefault="006D76B9" w:rsidP="008167AA">
      <w:pPr>
        <w:pStyle w:val="Nadpis2"/>
      </w:pPr>
      <w:bookmarkStart w:id="6" w:name="_Toc100598797"/>
      <w:r>
        <w:t>K</w:t>
      </w:r>
      <w:r w:rsidR="00AE4944">
        <w:t>apitálové poměry</w:t>
      </w:r>
      <w:bookmarkEnd w:id="6"/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1"/>
        <w:gridCol w:w="1936"/>
      </w:tblGrid>
      <w:tr w:rsidR="00DA5716" w:rsidRPr="00DA5716" w14:paraId="585A6256" w14:textId="77777777" w:rsidTr="0052012D">
        <w:trPr>
          <w:trHeight w:val="246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A2D" w14:textId="4D92EDE8" w:rsidR="00DA5716" w:rsidRPr="0052012D" w:rsidRDefault="00DA5716" w:rsidP="0052012D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Kapitálový poměr CET</w:t>
            </w:r>
            <w:r w:rsidR="00A26763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D940" w14:textId="4E8121DE" w:rsidR="00BC56F6" w:rsidRPr="0052012D" w:rsidRDefault="00BC56F6" w:rsidP="0052012D">
            <w:pPr>
              <w:jc w:val="right"/>
              <w:rPr>
                <w:rFonts w:asciiTheme="majorHAnsi" w:hAnsiTheme="majorHAnsi" w:cstheme="majorHAnsi"/>
                <w:lang w:eastAsia="cs-CZ"/>
              </w:rPr>
            </w:pPr>
            <w:r w:rsidRPr="0052012D">
              <w:rPr>
                <w:rFonts w:asciiTheme="majorHAnsi" w:hAnsiTheme="majorHAnsi" w:cstheme="majorHAnsi"/>
                <w:lang w:eastAsia="cs-CZ"/>
              </w:rPr>
              <w:t>1,005</w:t>
            </w:r>
          </w:p>
        </w:tc>
      </w:tr>
      <w:tr w:rsidR="00DA5716" w:rsidRPr="00DA5716" w14:paraId="4B09AE7E" w14:textId="77777777" w:rsidTr="0052012D">
        <w:trPr>
          <w:trHeight w:val="246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146" w14:textId="4B41E11E" w:rsidR="00DA5716" w:rsidRPr="0052012D" w:rsidRDefault="00DA5716" w:rsidP="0052012D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Přebytek</w:t>
            </w:r>
            <w:r w:rsidR="00115608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(+)</w:t>
            </w:r>
            <w:r w:rsidR="00115608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/ nedostatek</w:t>
            </w:r>
            <w:r w:rsidR="00115608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(-) CET</w:t>
            </w:r>
            <w:r w:rsidR="00A26763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1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kapitálu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0B5" w14:textId="0DC961A0" w:rsidR="00DA5716" w:rsidRPr="0052012D" w:rsidRDefault="00771B33" w:rsidP="0052012D">
            <w:pPr>
              <w:jc w:val="right"/>
              <w:rPr>
                <w:rFonts w:asciiTheme="majorHAnsi" w:hAnsiTheme="majorHAnsi" w:cstheme="majorHAnsi"/>
                <w:lang w:eastAsia="cs-CZ"/>
              </w:rPr>
            </w:pPr>
            <w:r w:rsidRPr="0052012D">
              <w:rPr>
                <w:rFonts w:asciiTheme="majorHAnsi" w:hAnsiTheme="majorHAnsi" w:cstheme="majorHAnsi"/>
                <w:lang w:eastAsia="cs-CZ"/>
              </w:rPr>
              <w:t>829.897</w:t>
            </w:r>
          </w:p>
        </w:tc>
      </w:tr>
      <w:tr w:rsidR="00DA5716" w:rsidRPr="00DA5716" w14:paraId="135EF49E" w14:textId="77777777" w:rsidTr="0052012D">
        <w:trPr>
          <w:trHeight w:val="246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F2A9" w14:textId="38846CD0" w:rsidR="00DA5716" w:rsidRPr="0052012D" w:rsidRDefault="00DA5716" w:rsidP="0052012D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Kapitálový poměr T</w:t>
            </w:r>
            <w:r w:rsidR="0052012D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3E6" w14:textId="27DE039E" w:rsidR="00DA5716" w:rsidRPr="0052012D" w:rsidRDefault="00BC56F6" w:rsidP="0052012D">
            <w:pPr>
              <w:jc w:val="right"/>
              <w:rPr>
                <w:rFonts w:asciiTheme="majorHAnsi" w:hAnsiTheme="majorHAnsi" w:cstheme="majorHAnsi"/>
                <w:lang w:eastAsia="cs-CZ"/>
              </w:rPr>
            </w:pPr>
            <w:r w:rsidRPr="0052012D">
              <w:rPr>
                <w:rFonts w:asciiTheme="majorHAnsi" w:hAnsiTheme="majorHAnsi" w:cstheme="majorHAnsi"/>
                <w:lang w:eastAsia="cs-CZ"/>
              </w:rPr>
              <w:t>1,005</w:t>
            </w:r>
          </w:p>
        </w:tc>
      </w:tr>
      <w:tr w:rsidR="00DA5716" w:rsidRPr="00DA5716" w14:paraId="3623980B" w14:textId="77777777" w:rsidTr="0052012D">
        <w:trPr>
          <w:trHeight w:val="246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FE81" w14:textId="4B4F3B8F" w:rsidR="00DA5716" w:rsidRPr="0052012D" w:rsidRDefault="00DA5716" w:rsidP="0052012D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Přebytek</w:t>
            </w:r>
            <w:r w:rsidR="00115608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(+)</w:t>
            </w:r>
            <w:r w:rsidR="00115608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/ nedostatek</w:t>
            </w:r>
            <w:r w:rsidR="00115608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(-) T</w:t>
            </w:r>
            <w:r w:rsidR="0052012D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1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kapitálu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820A" w14:textId="1B4B8947" w:rsidR="00DA5716" w:rsidRPr="0052012D" w:rsidRDefault="00771B33" w:rsidP="0052012D">
            <w:pPr>
              <w:jc w:val="right"/>
              <w:rPr>
                <w:rFonts w:asciiTheme="majorHAnsi" w:hAnsiTheme="majorHAnsi" w:cstheme="majorHAnsi"/>
                <w:lang w:eastAsia="cs-CZ"/>
              </w:rPr>
            </w:pPr>
            <w:r w:rsidRPr="0052012D">
              <w:rPr>
                <w:rFonts w:asciiTheme="majorHAnsi" w:hAnsiTheme="majorHAnsi" w:cstheme="majorHAnsi"/>
                <w:lang w:eastAsia="cs-CZ"/>
              </w:rPr>
              <w:t>475.642</w:t>
            </w:r>
          </w:p>
        </w:tc>
      </w:tr>
      <w:tr w:rsidR="00DA5716" w:rsidRPr="00DA5716" w14:paraId="31FFC155" w14:textId="77777777" w:rsidTr="0052012D">
        <w:trPr>
          <w:trHeight w:val="211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2BE" w14:textId="77777777" w:rsidR="00DA5716" w:rsidRPr="0052012D" w:rsidRDefault="00DA5716" w:rsidP="0052012D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Celkový kapitálový poměr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735" w14:textId="377CBF43" w:rsidR="00DA5716" w:rsidRPr="0052012D" w:rsidRDefault="00BC56F6" w:rsidP="0052012D">
            <w:pPr>
              <w:jc w:val="right"/>
              <w:rPr>
                <w:rFonts w:asciiTheme="majorHAnsi" w:hAnsiTheme="majorHAnsi" w:cstheme="majorHAnsi"/>
                <w:lang w:eastAsia="cs-CZ"/>
              </w:rPr>
            </w:pPr>
            <w:r w:rsidRPr="0052012D">
              <w:rPr>
                <w:rFonts w:asciiTheme="majorHAnsi" w:hAnsiTheme="majorHAnsi" w:cstheme="majorHAnsi"/>
                <w:lang w:eastAsia="cs-CZ"/>
              </w:rPr>
              <w:t>1,005</w:t>
            </w:r>
          </w:p>
        </w:tc>
      </w:tr>
      <w:tr w:rsidR="00DA5716" w:rsidRPr="00DA5716" w14:paraId="3AED887C" w14:textId="77777777" w:rsidTr="0052012D">
        <w:trPr>
          <w:trHeight w:val="246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4FE" w14:textId="2BF94C9A" w:rsidR="00DA5716" w:rsidRPr="0052012D" w:rsidRDefault="00DA5716" w:rsidP="0052012D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Přebytek</w:t>
            </w:r>
            <w:r w:rsidR="00A91E7B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(+)</w:t>
            </w:r>
            <w:r w:rsidR="00A91E7B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/ nedostatek</w:t>
            </w:r>
            <w:r w:rsidR="00A91E7B"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</w:t>
            </w:r>
            <w:r w:rsidRP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(-) celkového kapitálu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951" w14:textId="0A04C48F" w:rsidR="00DA5716" w:rsidRPr="0052012D" w:rsidRDefault="00DF10B3" w:rsidP="0052012D">
            <w:pPr>
              <w:jc w:val="right"/>
              <w:rPr>
                <w:rFonts w:asciiTheme="majorHAnsi" w:hAnsiTheme="majorHAnsi" w:cstheme="majorHAnsi"/>
                <w:lang w:eastAsia="cs-CZ"/>
              </w:rPr>
            </w:pPr>
            <w:r w:rsidRPr="0052012D">
              <w:rPr>
                <w:rFonts w:asciiTheme="majorHAnsi" w:hAnsiTheme="majorHAnsi" w:cstheme="majorHAnsi"/>
                <w:lang w:eastAsia="cs-CZ"/>
              </w:rPr>
              <w:t>9.517</w:t>
            </w:r>
          </w:p>
        </w:tc>
      </w:tr>
    </w:tbl>
    <w:p w14:paraId="367CDC82" w14:textId="3893208D" w:rsidR="00AE4944" w:rsidRDefault="00AE4944" w:rsidP="008167AA">
      <w:pPr>
        <w:pStyle w:val="Nadpis2"/>
      </w:pPr>
      <w:bookmarkStart w:id="7" w:name="_Toc100598798"/>
      <w:r>
        <w:t>Poměrové ukazatele</w:t>
      </w:r>
      <w:bookmarkEnd w:id="7"/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1940"/>
      </w:tblGrid>
      <w:tr w:rsidR="0022029C" w:rsidRPr="0022029C" w14:paraId="560BBBFF" w14:textId="77777777" w:rsidTr="0022029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389" w14:textId="77777777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Zadluženost I (celkový dluh bez majetku klientů/aktiva bez majetku klientů)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C281" w14:textId="76AB94BB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16,97 %</w:t>
            </w:r>
          </w:p>
        </w:tc>
      </w:tr>
      <w:tr w:rsidR="0022029C" w:rsidRPr="0022029C" w14:paraId="64F60846" w14:textId="77777777" w:rsidTr="0022029C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1CD" w14:textId="3F23F240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Zadluženost </w:t>
            </w:r>
            <w:proofErr w:type="spellStart"/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l</w:t>
            </w:r>
            <w:r w:rsidR="0052012D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I</w:t>
            </w:r>
            <w:proofErr w:type="spellEnd"/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(celkový dluh bez majetku klientů/vlastní kapitál)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D8FC" w14:textId="327F5CA3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20,44 %</w:t>
            </w:r>
          </w:p>
        </w:tc>
      </w:tr>
      <w:tr w:rsidR="0022029C" w:rsidRPr="0022029C" w14:paraId="131F2B0D" w14:textId="77777777" w:rsidTr="0022029C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F45" w14:textId="03AFC08F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Rentabilita aktiv (</w:t>
            </w: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ROA – čistý</w:t>
            </w: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zisk/bilanční suma)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BBD" w14:textId="6B33FD93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4,38 %</w:t>
            </w:r>
          </w:p>
        </w:tc>
      </w:tr>
      <w:tr w:rsidR="0022029C" w:rsidRPr="0022029C" w14:paraId="567B33E2" w14:textId="77777777" w:rsidTr="0022029C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FF3" w14:textId="77777777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Rentabilita průměrných aktiv (ROAA, aktiva bez majetku klientů)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B908" w14:textId="037FAFDB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4,47 %</w:t>
            </w:r>
          </w:p>
        </w:tc>
      </w:tr>
      <w:tr w:rsidR="0022029C" w:rsidRPr="0022029C" w14:paraId="1439C6D2" w14:textId="77777777" w:rsidTr="0022029C">
        <w:trPr>
          <w:trHeight w:val="2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5FC" w14:textId="77777777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Rentabilita průměrného kapitálu </w:t>
            </w:r>
            <w:proofErr w:type="spellStart"/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tier</w:t>
            </w:r>
            <w:proofErr w:type="spellEnd"/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 xml:space="preserve"> 1 (ROAE)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911" w14:textId="7CE9D470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5,96 %</w:t>
            </w:r>
          </w:p>
        </w:tc>
      </w:tr>
      <w:tr w:rsidR="0022029C" w:rsidRPr="0022029C" w14:paraId="2D83C753" w14:textId="77777777" w:rsidTr="0022029C">
        <w:trPr>
          <w:trHeight w:val="2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15F" w14:textId="77777777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Rentabilita tržeb (zisk po zdanění/výnosy z investičních služeb)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D23" w14:textId="1D307455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3,71 %</w:t>
            </w:r>
          </w:p>
        </w:tc>
      </w:tr>
      <w:tr w:rsidR="0022029C" w:rsidRPr="0022029C" w14:paraId="56F512FC" w14:textId="77777777" w:rsidTr="0022029C">
        <w:trPr>
          <w:trHeight w:val="29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4D" w14:textId="77777777" w:rsidR="0022029C" w:rsidRPr="0022029C" w:rsidRDefault="0022029C" w:rsidP="0022029C">
            <w:pPr>
              <w:spacing w:before="0" w:line="240" w:lineRule="auto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Správní náklady na jednoho pracovníka (v tis. Kč)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4F3" w14:textId="77777777" w:rsidR="0022029C" w:rsidRPr="0022029C" w:rsidRDefault="0022029C" w:rsidP="0022029C">
            <w:pPr>
              <w:spacing w:before="0" w:line="240" w:lineRule="auto"/>
              <w:jc w:val="right"/>
              <w:rPr>
                <w:rFonts w:ascii="Calibri Light" w:eastAsia="Times New Roman" w:hAnsi="Calibri Light" w:cs="Calibri Light"/>
                <w:color w:val="3F3F3F"/>
                <w:lang w:eastAsia="cs-CZ"/>
              </w:rPr>
            </w:pPr>
            <w:r w:rsidRPr="0022029C">
              <w:rPr>
                <w:rFonts w:ascii="Calibri Light" w:eastAsia="Times New Roman" w:hAnsi="Calibri Light" w:cs="Calibri Light"/>
                <w:color w:val="3F3F3F"/>
                <w:lang w:eastAsia="cs-CZ"/>
              </w:rPr>
              <w:t>672,68</w:t>
            </w:r>
          </w:p>
        </w:tc>
      </w:tr>
    </w:tbl>
    <w:p w14:paraId="3972D067" w14:textId="2FC897F6" w:rsidR="00AE4944" w:rsidRDefault="00AE4944" w:rsidP="00464212">
      <w:pPr>
        <w:pStyle w:val="Nadpis1"/>
      </w:pPr>
      <w:bookmarkStart w:id="8" w:name="_Toc100598799"/>
      <w:r>
        <w:lastRenderedPageBreak/>
        <w:t xml:space="preserve">Události po </w:t>
      </w:r>
      <w:r w:rsidRPr="000776AD">
        <w:t>rozvahovém</w:t>
      </w:r>
      <w:r>
        <w:t xml:space="preserve"> dni</w:t>
      </w:r>
      <w:bookmarkEnd w:id="8"/>
      <w:r w:rsidR="00DA5716">
        <w:t xml:space="preserve"> </w:t>
      </w:r>
    </w:p>
    <w:p w14:paraId="231F633A" w14:textId="062E7F4A" w:rsidR="001B2845" w:rsidRDefault="001B2845" w:rsidP="001B2845">
      <w:pPr>
        <w:pStyle w:val="Poznmkapodarou"/>
      </w:pPr>
      <w:r>
        <w:t>(§ 21 odst. 2 písm. a) zákona č. 563/1991 Sb.)</w:t>
      </w:r>
    </w:p>
    <w:p w14:paraId="338CE5CF" w14:textId="3D7A97D4" w:rsidR="00AE4944" w:rsidRPr="00F000E1" w:rsidRDefault="00AE4944" w:rsidP="00F000E1">
      <w:r w:rsidRPr="00F000E1">
        <w:t xml:space="preserve">Vedení účetní jednotky zvážilo </w:t>
      </w:r>
      <w:r w:rsidR="000776AD" w:rsidRPr="00F000E1">
        <w:t xml:space="preserve">potenciální dopady událostí po rozvahovém dni </w:t>
      </w:r>
      <w:r w:rsidRPr="00F000E1">
        <w:t>na svoji činnost a dospělo k závěru, že nemají významný vliv na trvání účetní jednotky. Vzhledem k tomu byla účetní závěrka k 31.12.202</w:t>
      </w:r>
      <w:r w:rsidR="000776AD" w:rsidRPr="00F000E1">
        <w:t>1</w:t>
      </w:r>
      <w:r w:rsidRPr="00F000E1">
        <w:t xml:space="preserve"> zpracována za předpokladu, že účetní jednotka bude nadále schopna pokračovat ve své činnosti.</w:t>
      </w:r>
    </w:p>
    <w:p w14:paraId="542E3F4F" w14:textId="7EAEB9FF" w:rsidR="00AE4944" w:rsidRDefault="00AE4944" w:rsidP="00464212">
      <w:pPr>
        <w:pStyle w:val="Nadpis1"/>
      </w:pPr>
      <w:bookmarkStart w:id="9" w:name="_Toc100598800"/>
      <w:r>
        <w:t>Předpokládaný vývoj činnosti</w:t>
      </w:r>
      <w:bookmarkEnd w:id="9"/>
      <w:r w:rsidR="000776AD">
        <w:t xml:space="preserve"> </w:t>
      </w:r>
    </w:p>
    <w:p w14:paraId="1478C9D8" w14:textId="78E420E8" w:rsidR="00AE2796" w:rsidRDefault="00AE2796" w:rsidP="00AE2796">
      <w:pPr>
        <w:pStyle w:val="Poznmkapodarou"/>
      </w:pPr>
      <w:r>
        <w:t>(§ 21 odst. 2 písm. b) zákona č. 563/1991 Sb.)</w:t>
      </w:r>
    </w:p>
    <w:p w14:paraId="21FB3F42" w14:textId="102271EA" w:rsidR="00AE4944" w:rsidRDefault="00AE4944" w:rsidP="00F000E1">
      <w:r>
        <w:t xml:space="preserve">Společnost hodlá </w:t>
      </w:r>
      <w:r w:rsidR="000776AD">
        <w:t xml:space="preserve">genericky </w:t>
      </w:r>
      <w:r>
        <w:t xml:space="preserve">rozvíjet své současné </w:t>
      </w:r>
      <w:r w:rsidR="000776AD">
        <w:t>podnikání.</w:t>
      </w:r>
    </w:p>
    <w:p w14:paraId="7AF19563" w14:textId="16185D83" w:rsidR="00AE4944" w:rsidRDefault="00AE4944" w:rsidP="00464212">
      <w:pPr>
        <w:pStyle w:val="Nadpis1"/>
      </w:pPr>
      <w:bookmarkStart w:id="10" w:name="_Toc100598801"/>
      <w:r>
        <w:t>Aktivity v oblasti výzkumu a vývoje</w:t>
      </w:r>
      <w:bookmarkEnd w:id="10"/>
      <w:r w:rsidR="000776AD">
        <w:t xml:space="preserve"> </w:t>
      </w:r>
    </w:p>
    <w:p w14:paraId="7BF6DB2E" w14:textId="48436BE5" w:rsidR="00AE2796" w:rsidRDefault="00AE2796" w:rsidP="00AE2796">
      <w:pPr>
        <w:pStyle w:val="Poznmkapodarou"/>
      </w:pPr>
      <w:r>
        <w:t>(§ 21 odst. 2 písm. c) zákona č. 563/1991 Sb.)</w:t>
      </w:r>
    </w:p>
    <w:p w14:paraId="70DDCB43" w14:textId="3FC82316" w:rsidR="00AE4944" w:rsidRDefault="00AE4944" w:rsidP="00F000E1">
      <w:r>
        <w:t>Společnost není aktivní ve výzkumu a vývoji.</w:t>
      </w:r>
    </w:p>
    <w:p w14:paraId="2CB29144" w14:textId="000FB210" w:rsidR="00AE4944" w:rsidRDefault="00AE4944" w:rsidP="00464212">
      <w:pPr>
        <w:pStyle w:val="Nadpis1"/>
      </w:pPr>
      <w:bookmarkStart w:id="11" w:name="_Toc100598802"/>
      <w:r>
        <w:t>Nabytí vlastních akcií</w:t>
      </w:r>
      <w:bookmarkEnd w:id="11"/>
      <w:r w:rsidR="000776AD">
        <w:t xml:space="preserve"> </w:t>
      </w:r>
    </w:p>
    <w:p w14:paraId="1EF554D3" w14:textId="44C3E69D" w:rsidR="00AE2796" w:rsidRDefault="00AE2796" w:rsidP="00AE2796">
      <w:pPr>
        <w:pStyle w:val="Poznmkapodarou"/>
      </w:pPr>
      <w:r>
        <w:t>(§ 21 odst. 2 písm. d) zákona č. 563/1991 Sb.)</w:t>
      </w:r>
    </w:p>
    <w:p w14:paraId="613FBFE5" w14:textId="752EC981" w:rsidR="00AE4944" w:rsidRDefault="00AE4944" w:rsidP="00F000E1">
      <w:r>
        <w:t>V průběhu účetního období společnost nenabyla žádné vlastní akcie.</w:t>
      </w:r>
    </w:p>
    <w:p w14:paraId="6A48FC0E" w14:textId="532ED27D" w:rsidR="00AE4944" w:rsidRDefault="000776AD" w:rsidP="00464212">
      <w:pPr>
        <w:pStyle w:val="Nadpis1"/>
      </w:pPr>
      <w:bookmarkStart w:id="12" w:name="_Toc100598803"/>
      <w:r>
        <w:t>A</w:t>
      </w:r>
      <w:r w:rsidR="00AE4944">
        <w:t>ktivity v oblasti ochrany životního prostředí a pracovněprávních vztahů</w:t>
      </w:r>
      <w:bookmarkEnd w:id="12"/>
      <w:r w:rsidR="00AE4944">
        <w:t xml:space="preserve"> </w:t>
      </w:r>
    </w:p>
    <w:p w14:paraId="3526E42A" w14:textId="300BE791" w:rsidR="00AE2796" w:rsidRDefault="00AE2796" w:rsidP="00AE2796">
      <w:pPr>
        <w:pStyle w:val="Poznmkapodarou"/>
      </w:pPr>
      <w:r>
        <w:t>(čl. 21 odst. 2 písm. e) zákona č. 563/1991 Sb.)</w:t>
      </w:r>
    </w:p>
    <w:p w14:paraId="048D319D" w14:textId="464DE3BF" w:rsidR="00AE4944" w:rsidRDefault="00AE4944" w:rsidP="00F000E1">
      <w:r>
        <w:t>Společnost</w:t>
      </w:r>
      <w:r w:rsidR="000776AD">
        <w:t xml:space="preserve"> participuje na programu skupiny v oblasti ESG</w:t>
      </w:r>
      <w:r>
        <w:t xml:space="preserve"> v oblasti ochrany životního prostředí a pracovněprávních vztahů</w:t>
      </w:r>
      <w:r w:rsidR="000776AD">
        <w:t>, vnímá význam této oblasti a formuluje své dlouhodobé postoje v těchto oblastech.</w:t>
      </w:r>
    </w:p>
    <w:p w14:paraId="36C00055" w14:textId="1A31A9C6" w:rsidR="00AE4944" w:rsidRDefault="00AE4944" w:rsidP="00464212">
      <w:pPr>
        <w:pStyle w:val="Nadpis1"/>
      </w:pPr>
      <w:bookmarkStart w:id="13" w:name="_Toc100598804"/>
      <w:r>
        <w:t>Pobočka nebo jiná část v</w:t>
      </w:r>
      <w:r w:rsidR="001721BC">
        <w:t> </w:t>
      </w:r>
      <w:r>
        <w:t>zahraničí</w:t>
      </w:r>
      <w:bookmarkEnd w:id="13"/>
      <w:r w:rsidR="001721BC">
        <w:t xml:space="preserve"> </w:t>
      </w:r>
    </w:p>
    <w:p w14:paraId="1682CE44" w14:textId="332FBB61" w:rsidR="00AE2796" w:rsidRDefault="00AE2796" w:rsidP="00AE2796">
      <w:pPr>
        <w:pStyle w:val="Poznmkapodarou"/>
      </w:pPr>
      <w:r>
        <w:t>(§ 21 odst. 2 písm. f) zákona č. 563/1991 Sb.)</w:t>
      </w:r>
    </w:p>
    <w:p w14:paraId="00F7AFBF" w14:textId="7E4ACC0B" w:rsidR="00AE4944" w:rsidRDefault="00AE4944" w:rsidP="00F000E1">
      <w:r>
        <w:t>Společnost nemá žádnou pobočku nebo jinou část obchodního závodu v zahraničí.</w:t>
      </w:r>
    </w:p>
    <w:p w14:paraId="4C611170" w14:textId="6B2B7675" w:rsidR="00AE4944" w:rsidRDefault="00AE4944" w:rsidP="00464212">
      <w:pPr>
        <w:pStyle w:val="Nadpis1"/>
      </w:pPr>
      <w:bookmarkStart w:id="14" w:name="_Toc100598805"/>
      <w:r>
        <w:t xml:space="preserve">Další informace </w:t>
      </w:r>
      <w:bookmarkEnd w:id="14"/>
    </w:p>
    <w:p w14:paraId="5B18F2D2" w14:textId="6728469E" w:rsidR="00464212" w:rsidRDefault="00464212" w:rsidP="00464212">
      <w:pPr>
        <w:pStyle w:val="Poznmkapodarou"/>
      </w:pPr>
      <w:r>
        <w:t>(§ 21 odst. 2 písm. g) zákona č. 563/1991 Sb.)</w:t>
      </w:r>
    </w:p>
    <w:p w14:paraId="2ED320AD" w14:textId="70181159" w:rsidR="00AE4944" w:rsidRDefault="008B29D6" w:rsidP="008B29D6">
      <w:pPr>
        <w:pStyle w:val="Nadpis2"/>
      </w:pPr>
      <w:r>
        <w:t xml:space="preserve">Informace o výši základu pro výpočet </w:t>
      </w:r>
      <w:r w:rsidRPr="008B29D6">
        <w:t>příspěvku do Garančního fondu obchodníků s cennými papíry</w:t>
      </w:r>
    </w:p>
    <w:p w14:paraId="6BBFEF65" w14:textId="4A1B2AB0" w:rsidR="008B29D6" w:rsidRPr="00D54165" w:rsidRDefault="008B29D6" w:rsidP="00C57B4C">
      <w:pPr>
        <w:spacing w:before="0"/>
      </w:pPr>
      <w:r w:rsidRPr="008B29D6">
        <w:t>Informace o výši základu pro výpočet příspěvku do Garančního fondu obchodníků s cennými papíry za rok 202</w:t>
      </w:r>
      <w:r w:rsidR="00454AAB">
        <w:t>1:</w:t>
      </w:r>
      <w:r w:rsidRPr="008B29D6">
        <w:t xml:space="preserve"> Výše základu pro výpočet příspěvku do Garančního fondu obchodníků s cennými papíry za rok 202</w:t>
      </w:r>
      <w:r w:rsidR="00454AAB">
        <w:t>1</w:t>
      </w:r>
      <w:r w:rsidRPr="008B29D6">
        <w:t xml:space="preserve"> za obchodníka s cennými papíry Moventum a.s., </w:t>
      </w:r>
      <w:r w:rsidRPr="00D54165">
        <w:t xml:space="preserve">IČ 06413404, se sídlem Bašty 413/2, Brno-město, 602 00 Brno, Česká republika, je </w:t>
      </w:r>
      <w:r w:rsidR="00167570" w:rsidRPr="00857CB4">
        <w:t>4.924.83</w:t>
      </w:r>
      <w:r w:rsidR="00167570" w:rsidRPr="00857CB4">
        <w:t>5</w:t>
      </w:r>
      <w:r w:rsidRPr="00D54165">
        <w:t xml:space="preserve"> Kč.</w:t>
      </w:r>
    </w:p>
    <w:p w14:paraId="2CBFEF3B" w14:textId="3DAF56BD" w:rsidR="001721BC" w:rsidRPr="00D54165" w:rsidRDefault="001721BC" w:rsidP="008167AA">
      <w:pPr>
        <w:pStyle w:val="Nadpis2"/>
      </w:pPr>
      <w:bookmarkStart w:id="15" w:name="_Toc100598806"/>
      <w:r w:rsidRPr="00D54165">
        <w:t>Zpráva auditora o opatřeních v oblasti zákaznického majetku</w:t>
      </w:r>
      <w:bookmarkEnd w:id="15"/>
    </w:p>
    <w:p w14:paraId="45B1E605" w14:textId="1A034794" w:rsidR="00454AAB" w:rsidRPr="00D54165" w:rsidRDefault="00454AAB" w:rsidP="00454AAB">
      <w:r w:rsidRPr="00D54165">
        <w:t xml:space="preserve">Zpráva auditora </w:t>
      </w:r>
      <w:r w:rsidR="00C57B4C" w:rsidRPr="00D54165">
        <w:t xml:space="preserve">k opatřením v oblasti zákaznického majetku </w:t>
      </w:r>
      <w:r w:rsidRPr="00D54165">
        <w:t>je přiložena.</w:t>
      </w:r>
    </w:p>
    <w:p w14:paraId="3A2DD4D2" w14:textId="52EC611E" w:rsidR="00AE4944" w:rsidRPr="00D54165" w:rsidRDefault="00AE4944" w:rsidP="00464212">
      <w:pPr>
        <w:pStyle w:val="Nadpis1"/>
      </w:pPr>
      <w:bookmarkStart w:id="16" w:name="_Toc100598807"/>
      <w:r w:rsidRPr="00D54165">
        <w:t>Finanční výkazy</w:t>
      </w:r>
      <w:bookmarkEnd w:id="16"/>
    </w:p>
    <w:p w14:paraId="5564CFA6" w14:textId="1C644DC6" w:rsidR="00AE4944" w:rsidRDefault="00AE4944" w:rsidP="00F000E1">
      <w:r w:rsidRPr="00D54165">
        <w:t>Finanční výkazy jsou</w:t>
      </w:r>
      <w:r w:rsidR="001721BC" w:rsidRPr="00D54165">
        <w:t xml:space="preserve"> k této zprávě přiloženy</w:t>
      </w:r>
      <w:r w:rsidRPr="00D54165">
        <w:t>.</w:t>
      </w:r>
    </w:p>
    <w:p w14:paraId="7145F4EF" w14:textId="77777777" w:rsidR="00857CB4" w:rsidRDefault="00857CB4">
      <w:pPr>
        <w:spacing w:before="0" w:after="120"/>
        <w:jc w:val="left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bookmarkStart w:id="17" w:name="_Toc100598808"/>
      <w:r>
        <w:br w:type="page"/>
      </w:r>
    </w:p>
    <w:p w14:paraId="71F84652" w14:textId="30456524" w:rsidR="00B34BC5" w:rsidRPr="00464212" w:rsidRDefault="00AE4944" w:rsidP="00464212">
      <w:pPr>
        <w:pStyle w:val="Nadpis1"/>
      </w:pPr>
      <w:r w:rsidRPr="00464212">
        <w:lastRenderedPageBreak/>
        <w:t>Zpráva o vztazích</w:t>
      </w:r>
      <w:r w:rsidR="009009E6" w:rsidRPr="00464212">
        <w:t xml:space="preserve"> m</w:t>
      </w:r>
      <w:r w:rsidR="00B34BC5" w:rsidRPr="00464212">
        <w:t>ezi ovládající osobou a ovládanou osobou a mezi ovládanou osobou a subjekty ovládanými stejnou ovládající osobou</w:t>
      </w:r>
      <w:bookmarkEnd w:id="17"/>
    </w:p>
    <w:p w14:paraId="342BF029" w14:textId="7F054759" w:rsidR="00B34BC5" w:rsidRDefault="00B34BC5" w:rsidP="00F000E1">
      <w:r>
        <w:t>Zpráva je sestavována v souladu s</w:t>
      </w:r>
      <w:r w:rsidR="009009E6">
        <w:t> </w:t>
      </w:r>
      <w:r>
        <w:t>ustanovením</w:t>
      </w:r>
      <w:r w:rsidR="009009E6">
        <w:t xml:space="preserve"> </w:t>
      </w:r>
      <w:r>
        <w:t>§ 82 zákona č. 90/2012 Sb., o obchodních společnostech a družstvech ve znění pozdějších předpisů (dále jen "ZOK" - Zákon o obchodních korporacích) statutárním orgánem ovládané osoby za účetní období 01.01.202</w:t>
      </w:r>
      <w:r w:rsidR="009009E6">
        <w:t xml:space="preserve">1 </w:t>
      </w:r>
      <w:r>
        <w:t>- 31.12.202</w:t>
      </w:r>
      <w:r w:rsidR="009009E6">
        <w:t>1</w:t>
      </w:r>
      <w:r>
        <w:t xml:space="preserve"> a uvádí veškeré nám známe informace týkající se vztahů mezi uvedenými subjekty, s přihlédnutím k jejich významu.</w:t>
      </w:r>
    </w:p>
    <w:p w14:paraId="39D74F71" w14:textId="3083CCC3" w:rsidR="00B34BC5" w:rsidRDefault="00B34BC5" w:rsidP="008167AA">
      <w:pPr>
        <w:pStyle w:val="Nadpis2"/>
      </w:pPr>
      <w:bookmarkStart w:id="18" w:name="_Toc100598809"/>
      <w:r>
        <w:t>Seznam propojených subjektu</w:t>
      </w:r>
      <w:bookmarkEnd w:id="18"/>
    </w:p>
    <w:p w14:paraId="3FB6E570" w14:textId="77777777" w:rsidR="00857CB4" w:rsidRDefault="00B34BC5" w:rsidP="0004373F">
      <w:pPr>
        <w:pStyle w:val="Nadpis3"/>
      </w:pPr>
      <w:bookmarkStart w:id="19" w:name="_Toc100598810"/>
      <w:r w:rsidRPr="0004373F">
        <w:t>Ovládaná osoba</w:t>
      </w:r>
    </w:p>
    <w:bookmarkEnd w:id="19"/>
    <w:p w14:paraId="0A9ABB44" w14:textId="2FECCC1A" w:rsidR="00B34BC5" w:rsidRDefault="00B34BC5" w:rsidP="00F000E1">
      <w:r>
        <w:t>Zpracovatelem této zprávy o vztazích a zároveň ovládanou osobou v souladu s § 74 ZOK během účetního období, pro které je tato zpráva o vztazích sestavena, byla</w:t>
      </w:r>
      <w:r w:rsidR="00FA3566">
        <w:t xml:space="preserve"> s</w:t>
      </w:r>
      <w:r>
        <w:t>polečnost: Moventum a.s.</w:t>
      </w:r>
      <w:r w:rsidR="00FA3566">
        <w:t xml:space="preserve">, se sídlem </w:t>
      </w:r>
      <w:r>
        <w:t>Bašty 413/2, Brno-město, 602 00 Brno</w:t>
      </w:r>
      <w:r w:rsidR="00FA3566">
        <w:t>, identifikační číslo</w:t>
      </w:r>
      <w:r>
        <w:t xml:space="preserve"> 06413404</w:t>
      </w:r>
      <w:r w:rsidR="005E653C">
        <w:t>, z</w:t>
      </w:r>
      <w:r>
        <w:t xml:space="preserve">ápis do obchodního </w:t>
      </w:r>
      <w:r w:rsidR="0004373F">
        <w:t>rejstříku – Krajský</w:t>
      </w:r>
      <w:r>
        <w:t xml:space="preserve"> soud v Brně, oddíl B, spisová položka 7826</w:t>
      </w:r>
      <w:r w:rsidR="005E653C">
        <w:t>.</w:t>
      </w:r>
    </w:p>
    <w:p w14:paraId="6B4E0E9E" w14:textId="77777777" w:rsidR="00857CB4" w:rsidRDefault="00B34BC5" w:rsidP="0004373F">
      <w:pPr>
        <w:pStyle w:val="Nadpis3"/>
      </w:pPr>
      <w:bookmarkStart w:id="20" w:name="_Toc100598811"/>
      <w:r>
        <w:t>Ovládající osoba</w:t>
      </w:r>
    </w:p>
    <w:bookmarkEnd w:id="20"/>
    <w:p w14:paraId="0F3B601C" w14:textId="0475AB7C" w:rsidR="00B34BC5" w:rsidRDefault="00B34BC5" w:rsidP="00F000E1">
      <w:r>
        <w:t>Ovládající osoba ve smyslu §</w:t>
      </w:r>
      <w:r w:rsidR="005E653C">
        <w:t xml:space="preserve"> </w:t>
      </w:r>
      <w:r>
        <w:t xml:space="preserve">74 ZOK </w:t>
      </w:r>
      <w:r w:rsidR="00ED50C1">
        <w:t>byla</w:t>
      </w:r>
      <w:r>
        <w:t>:</w:t>
      </w:r>
    </w:p>
    <w:p w14:paraId="558B72F0" w14:textId="06489520" w:rsidR="00B34BC5" w:rsidRDefault="00650FC6" w:rsidP="00F000E1">
      <w:r>
        <w:t xml:space="preserve">od 1.1.2021 do </w:t>
      </w:r>
      <w:r w:rsidR="00DF0103">
        <w:t>5</w:t>
      </w:r>
      <w:r>
        <w:t xml:space="preserve">.8.2021: </w:t>
      </w:r>
      <w:r w:rsidR="00C803C6">
        <w:t>společnost</w:t>
      </w:r>
      <w:r w:rsidR="00B34BC5">
        <w:t xml:space="preserve"> Moventum </w:t>
      </w:r>
      <w:proofErr w:type="spellStart"/>
      <w:r w:rsidR="00B34BC5">
        <w:t>sp</w:t>
      </w:r>
      <w:proofErr w:type="spellEnd"/>
      <w:r w:rsidR="00B34BC5">
        <w:t xml:space="preserve">. z </w:t>
      </w:r>
      <w:proofErr w:type="spellStart"/>
      <w:r w:rsidR="00B34BC5">
        <w:t>o.o</w:t>
      </w:r>
      <w:proofErr w:type="spellEnd"/>
      <w:r w:rsidR="00B34BC5">
        <w:t>.</w:t>
      </w:r>
      <w:r w:rsidR="00C803C6">
        <w:t xml:space="preserve">, se sídlem </w:t>
      </w:r>
      <w:r w:rsidR="00B34BC5">
        <w:t xml:space="preserve">ul. </w:t>
      </w:r>
      <w:proofErr w:type="spellStart"/>
      <w:r w:rsidR="00B34BC5">
        <w:t>Cybernetyki</w:t>
      </w:r>
      <w:proofErr w:type="spellEnd"/>
      <w:r w:rsidR="00B34BC5">
        <w:t xml:space="preserve"> 21, </w:t>
      </w:r>
      <w:proofErr w:type="spellStart"/>
      <w:r w:rsidR="00B34BC5">
        <w:t>Warszawa</w:t>
      </w:r>
      <w:proofErr w:type="spellEnd"/>
      <w:r w:rsidR="00B34BC5">
        <w:t>, Polsko</w:t>
      </w:r>
      <w:r w:rsidR="00C803C6">
        <w:t>, i</w:t>
      </w:r>
      <w:r w:rsidR="00B34BC5">
        <w:t>dentifikační číslo společnosti:</w:t>
      </w:r>
      <w:r w:rsidR="00DB368A">
        <w:t xml:space="preserve"> </w:t>
      </w:r>
      <w:r w:rsidR="00B34BC5">
        <w:t>0000042197</w:t>
      </w:r>
      <w:r w:rsidR="00DB368A">
        <w:t>, z</w:t>
      </w:r>
      <w:r w:rsidR="00B34BC5">
        <w:t>ápis do obchodního rejstříku: Okresní soud hlavního města Varšavy, KRS 0000042197</w:t>
      </w:r>
      <w:r w:rsidR="00DB368A">
        <w:t>.</w:t>
      </w:r>
      <w:r w:rsidR="00B34BC5">
        <w:t xml:space="preserve"> Vztah k ovládané osobě: mateřská společnost</w:t>
      </w:r>
    </w:p>
    <w:p w14:paraId="298D9F34" w14:textId="4F537C99" w:rsidR="00BF4704" w:rsidRDefault="00BF4704" w:rsidP="00F000E1">
      <w:r>
        <w:rPr>
          <w:noProof/>
        </w:rPr>
        <w:drawing>
          <wp:inline distT="0" distB="0" distL="0" distR="0" wp14:anchorId="50DFE9AD" wp14:editId="1F96098F">
            <wp:extent cx="3283369" cy="895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34" cy="9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F170" w14:textId="56D8D7BD" w:rsidR="00650FC6" w:rsidRDefault="00650FC6" w:rsidP="00F000E1">
      <w:r>
        <w:t>od</w:t>
      </w:r>
      <w:r w:rsidR="00DF0103">
        <w:t xml:space="preserve"> 6</w:t>
      </w:r>
      <w:r>
        <w:t>.</w:t>
      </w:r>
      <w:r w:rsidR="00DF0103">
        <w:t>8</w:t>
      </w:r>
      <w:r>
        <w:t xml:space="preserve">.2021 do </w:t>
      </w:r>
      <w:r w:rsidR="00DF0103">
        <w:t>31.12.</w:t>
      </w:r>
      <w:r>
        <w:t xml:space="preserve">2021: </w:t>
      </w:r>
      <w:r w:rsidRPr="00650FC6">
        <w:t>FPM International LLC</w:t>
      </w:r>
      <w:r w:rsidR="00DF0103">
        <w:t xml:space="preserve">, </w:t>
      </w:r>
      <w:r w:rsidRPr="00650FC6">
        <w:t xml:space="preserve">19801 </w:t>
      </w:r>
      <w:proofErr w:type="spellStart"/>
      <w:r w:rsidRPr="00650FC6">
        <w:t>Wilmington</w:t>
      </w:r>
      <w:proofErr w:type="spellEnd"/>
      <w:r w:rsidRPr="00650FC6">
        <w:t xml:space="preserve">, Delaware, 1201 Orange Street, </w:t>
      </w:r>
      <w:proofErr w:type="spellStart"/>
      <w:r w:rsidRPr="00650FC6">
        <w:t>Suite</w:t>
      </w:r>
      <w:proofErr w:type="spellEnd"/>
      <w:r w:rsidRPr="00650FC6">
        <w:t xml:space="preserve"> 600, Spojené státy americké</w:t>
      </w:r>
      <w:r w:rsidR="00DF0103">
        <w:t xml:space="preserve">, </w:t>
      </w:r>
      <w:r w:rsidRPr="00650FC6">
        <w:t>Registrační číslo: DE-4542662</w:t>
      </w:r>
    </w:p>
    <w:p w14:paraId="57D95F53" w14:textId="0D2EB99C" w:rsidR="00BF4704" w:rsidRPr="00650FC6" w:rsidRDefault="00BF4704" w:rsidP="00F000E1">
      <w:r>
        <w:rPr>
          <w:noProof/>
        </w:rPr>
        <w:drawing>
          <wp:inline distT="0" distB="0" distL="0" distR="0" wp14:anchorId="54934194" wp14:editId="68D15587">
            <wp:extent cx="1820171" cy="109220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72" cy="11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476A7" w14:textId="05717918" w:rsidR="00B34BC5" w:rsidRDefault="00B34BC5" w:rsidP="0004373F">
      <w:pPr>
        <w:pStyle w:val="Nadpis3"/>
      </w:pPr>
      <w:bookmarkStart w:id="21" w:name="_Toc100598812"/>
      <w:r>
        <w:t>Subjekty ovládané stejnou ovládající osobou</w:t>
      </w:r>
      <w:bookmarkEnd w:id="21"/>
    </w:p>
    <w:p w14:paraId="5F26FBEF" w14:textId="77777777" w:rsidR="00B34BC5" w:rsidRDefault="00B34BC5" w:rsidP="00F000E1">
      <w:r>
        <w:t>Subjekty ovládané stejnou ovládající osobou během účetního období, pro které je sestavována tato zpráva o vztazích, byly:</w:t>
      </w:r>
    </w:p>
    <w:p w14:paraId="7AAEEE9C" w14:textId="2CA367F3" w:rsidR="00B34BC5" w:rsidRDefault="00CC1735" w:rsidP="00F000E1">
      <w:r>
        <w:t>od 1.1.2021 do 5.8.2021: společnost</w:t>
      </w:r>
      <w:r w:rsidR="00B34BC5">
        <w:t xml:space="preserve"> Moventum S.C.A.</w:t>
      </w:r>
      <w:r>
        <w:t xml:space="preserve">, </w:t>
      </w:r>
      <w:r w:rsidR="00B34BC5">
        <w:t xml:space="preserve">Sídlo: 12 </w:t>
      </w:r>
      <w:proofErr w:type="spellStart"/>
      <w:r w:rsidR="00B34BC5">
        <w:t>Rue</w:t>
      </w:r>
      <w:proofErr w:type="spellEnd"/>
      <w:r w:rsidR="00B34BC5">
        <w:t xml:space="preserve"> </w:t>
      </w:r>
      <w:proofErr w:type="spellStart"/>
      <w:r w:rsidR="00B34BC5">
        <w:t>Eugěne</w:t>
      </w:r>
      <w:proofErr w:type="spellEnd"/>
      <w:r w:rsidR="00B34BC5">
        <w:t xml:space="preserve"> Ruppert, L-2453 Luxembourg Identifikační číslo společnosti: B 75.930</w:t>
      </w:r>
      <w:r>
        <w:t xml:space="preserve">, </w:t>
      </w:r>
      <w:r w:rsidR="00B34BC5">
        <w:t>Zápis do obchodního rejstříku: Obchodní rejstřík v</w:t>
      </w:r>
      <w:r>
        <w:t> </w:t>
      </w:r>
      <w:r w:rsidR="00B34BC5">
        <w:t>Lucembursku</w:t>
      </w:r>
      <w:r>
        <w:t>.</w:t>
      </w:r>
      <w:r w:rsidR="00B34BC5">
        <w:t xml:space="preserve"> Vztah k ovládané osobě: sesterská společnost</w:t>
      </w:r>
      <w:r>
        <w:t>.</w:t>
      </w:r>
    </w:p>
    <w:p w14:paraId="0966DE17" w14:textId="03097AB4" w:rsidR="00B34BC5" w:rsidRDefault="00CC1735" w:rsidP="00F000E1">
      <w:r>
        <w:t xml:space="preserve">od 1.1.2021 do 5.8.2021: společnost </w:t>
      </w:r>
      <w:r w:rsidR="00B34BC5">
        <w:t xml:space="preserve">MOVENTUM </w:t>
      </w:r>
      <w:proofErr w:type="spellStart"/>
      <w:r w:rsidR="00B34BC5">
        <w:t>Holdings</w:t>
      </w:r>
      <w:proofErr w:type="spellEnd"/>
      <w:r w:rsidR="00B34BC5">
        <w:t xml:space="preserve"> SA</w:t>
      </w:r>
      <w:r>
        <w:t xml:space="preserve">, </w:t>
      </w:r>
      <w:r w:rsidR="00B34BC5">
        <w:t xml:space="preserve">Sídlo: 12 </w:t>
      </w:r>
      <w:proofErr w:type="spellStart"/>
      <w:r w:rsidR="00B34BC5">
        <w:t>Rue</w:t>
      </w:r>
      <w:proofErr w:type="spellEnd"/>
      <w:r w:rsidR="00B34BC5">
        <w:t xml:space="preserve"> </w:t>
      </w:r>
      <w:proofErr w:type="spellStart"/>
      <w:r w:rsidR="00B34BC5">
        <w:t>Eugěne</w:t>
      </w:r>
      <w:proofErr w:type="spellEnd"/>
      <w:r w:rsidR="00B34BC5">
        <w:t xml:space="preserve"> Ruppert, L-2453 Luxembourg</w:t>
      </w:r>
      <w:r w:rsidR="00341A6C">
        <w:t xml:space="preserve">, </w:t>
      </w:r>
      <w:r w:rsidR="00B34BC5">
        <w:t>Identifikační číslo společnosti: B 124.292</w:t>
      </w:r>
      <w:r w:rsidR="00341A6C">
        <w:t xml:space="preserve">, </w:t>
      </w:r>
      <w:r w:rsidR="00B34BC5">
        <w:t>Zápis do obchodního rejstříku: Obchodní rejstřík v</w:t>
      </w:r>
      <w:r w:rsidR="00341A6C">
        <w:t> </w:t>
      </w:r>
      <w:r w:rsidR="00B34BC5">
        <w:t>Lucembursku</w:t>
      </w:r>
      <w:r w:rsidR="00341A6C">
        <w:t>.</w:t>
      </w:r>
      <w:r w:rsidR="00B34BC5">
        <w:t xml:space="preserve"> Vztah k ovládané osobě: sesterská společnost</w:t>
      </w:r>
      <w:r w:rsidR="00341A6C">
        <w:t>.</w:t>
      </w:r>
    </w:p>
    <w:p w14:paraId="21DDE88D" w14:textId="0D16DB59" w:rsidR="00B34BC5" w:rsidRDefault="00B34BC5" w:rsidP="008167AA">
      <w:pPr>
        <w:pStyle w:val="Nadpis2"/>
      </w:pPr>
      <w:bookmarkStart w:id="22" w:name="_Toc100598813"/>
      <w:r>
        <w:t>Úloha ovládané osoby, metody a prostředky kontroly</w:t>
      </w:r>
      <w:bookmarkEnd w:id="22"/>
    </w:p>
    <w:p w14:paraId="5C210DD6" w14:textId="77777777" w:rsidR="006B73E5" w:rsidRDefault="00B34BC5" w:rsidP="00F000E1">
      <w:r>
        <w:t xml:space="preserve">Ovládaná osoba </w:t>
      </w:r>
      <w:r w:rsidR="00B252D4">
        <w:t xml:space="preserve">byla </w:t>
      </w:r>
      <w:r>
        <w:t>ze 100 % vlastněna ovládající</w:t>
      </w:r>
      <w:r w:rsidR="00B252D4">
        <w:t xml:space="preserve">mi osobami uvedenými výše. </w:t>
      </w:r>
      <w:r w:rsidR="006B73E5" w:rsidRPr="006B73E5">
        <w:t xml:space="preserve">Metody a kontrolní prostředky jsou omezeny na </w:t>
      </w:r>
      <w:r w:rsidR="006B73E5">
        <w:t xml:space="preserve">běžný rozsah </w:t>
      </w:r>
      <w:r w:rsidR="006B73E5" w:rsidRPr="006B73E5">
        <w:t>vztah</w:t>
      </w:r>
      <w:r w:rsidR="006B73E5">
        <w:t>ů</w:t>
      </w:r>
      <w:r w:rsidR="006B73E5" w:rsidRPr="006B73E5">
        <w:t xml:space="preserve"> dceřiné společnosti jako ovládané osoby a mateřské společnosti jako ovládající osoby.</w:t>
      </w:r>
    </w:p>
    <w:p w14:paraId="4E74748E" w14:textId="011510B7" w:rsidR="00B34BC5" w:rsidRDefault="00B34BC5" w:rsidP="008167AA">
      <w:pPr>
        <w:pStyle w:val="Nadpis2"/>
      </w:pPr>
      <w:bookmarkStart w:id="23" w:name="_Toc100598814"/>
      <w:r>
        <w:lastRenderedPageBreak/>
        <w:t>Seznam úkonů provedených v posledním účetním období na popud nebo v zájmu ovládající osoby nebo ovládaných subjektů</w:t>
      </w:r>
      <w:bookmarkEnd w:id="23"/>
    </w:p>
    <w:p w14:paraId="29B53328" w14:textId="1AC33FE1" w:rsidR="00B34BC5" w:rsidRDefault="00B34BC5" w:rsidP="00F000E1">
      <w:r>
        <w:t>Tento bod v souladu s</w:t>
      </w:r>
      <w:r w:rsidR="006B73E5">
        <w:t xml:space="preserve"> </w:t>
      </w:r>
      <w:r>
        <w:t>§</w:t>
      </w:r>
      <w:r w:rsidR="006B73E5">
        <w:t xml:space="preserve"> </w:t>
      </w:r>
      <w:r>
        <w:t>82 odst. 2 písm. d</w:t>
      </w:r>
      <w:r w:rsidR="007A6956">
        <w:t>)</w:t>
      </w:r>
      <w:r>
        <w:t xml:space="preserve"> ZOK uvádí všechny úkony provedené v posledním účetním období na popud nebo v zájmu ovládající osoby nebo jí ovládaných subjektů, pokud se takový úkon týkal aktiv přesahujících 10 % vlastního kapitálu ovládané osoby stanovený v souladu s poslední konečnou účetní závěrku.</w:t>
      </w:r>
    </w:p>
    <w:p w14:paraId="4B18A8EC" w14:textId="25CBAAE0" w:rsidR="00B34BC5" w:rsidRDefault="00B34BC5" w:rsidP="00F000E1">
      <w:r>
        <w:t>V účetním období, pro které je sestavována tato zpráva o vztazích, byly provedeny následující úkony, které</w:t>
      </w:r>
      <w:r w:rsidR="007A6956">
        <w:t xml:space="preserve"> s</w:t>
      </w:r>
      <w:r>
        <w:t>plň</w:t>
      </w:r>
      <w:r w:rsidR="007A6956">
        <w:t>ují</w:t>
      </w:r>
      <w:r>
        <w:t xml:space="preserve"> definici uvedenou </w:t>
      </w:r>
      <w:r w:rsidR="007A6956">
        <w:t>výše</w:t>
      </w:r>
      <w:r>
        <w:t>:</w:t>
      </w:r>
    </w:p>
    <w:p w14:paraId="27DB4911" w14:textId="38E1FA39" w:rsidR="00B34BC5" w:rsidRPr="00D54165" w:rsidRDefault="00B34BC5" w:rsidP="00F000E1">
      <w:r w:rsidRPr="00D54165">
        <w:t>•</w:t>
      </w:r>
      <w:r w:rsidRPr="00D54165">
        <w:tab/>
        <w:t xml:space="preserve">Prodej služeb ve výši </w:t>
      </w:r>
      <w:r w:rsidR="008A3EEC" w:rsidRPr="00D54165">
        <w:t>3.</w:t>
      </w:r>
      <w:r w:rsidR="00132105" w:rsidRPr="00D54165">
        <w:t>700</w:t>
      </w:r>
      <w:r w:rsidR="007A6956" w:rsidRPr="00D54165">
        <w:t xml:space="preserve"> Kč</w:t>
      </w:r>
      <w:r w:rsidRPr="00D54165">
        <w:t xml:space="preserve"> ovládanou osobou Moventum a.s. jiné ovládané osobě (Moventum S.C.A.)</w:t>
      </w:r>
    </w:p>
    <w:p w14:paraId="5B3D5F47" w14:textId="2B615EFF" w:rsidR="00B34BC5" w:rsidRPr="00D54165" w:rsidRDefault="00B34BC5" w:rsidP="00F000E1">
      <w:r w:rsidRPr="00D54165">
        <w:t>•</w:t>
      </w:r>
      <w:r w:rsidRPr="00D54165">
        <w:tab/>
        <w:t>Kapitálové vklady ovládající osoby ovládané osobě (Moventum a.s.):</w:t>
      </w:r>
    </w:p>
    <w:p w14:paraId="54CD0D29" w14:textId="599AA129" w:rsidR="00B34BC5" w:rsidRPr="00D54165" w:rsidRDefault="0078756D" w:rsidP="00F000E1">
      <w:pPr>
        <w:pStyle w:val="Odstavecseseznamem"/>
        <w:numPr>
          <w:ilvl w:val="0"/>
          <w:numId w:val="15"/>
        </w:numPr>
      </w:pPr>
      <w:r w:rsidRPr="00D54165">
        <w:t xml:space="preserve">v roce 2021 nebyly </w:t>
      </w:r>
      <w:r w:rsidR="00D003E4" w:rsidRPr="00D54165">
        <w:t xml:space="preserve">provedeny </w:t>
      </w:r>
      <w:r w:rsidRPr="00D54165">
        <w:t>žádné kapitálové vklady ovládající osoby.</w:t>
      </w:r>
    </w:p>
    <w:p w14:paraId="6E07F135" w14:textId="775C1D3A" w:rsidR="00B34BC5" w:rsidRDefault="00B34BC5" w:rsidP="008167AA">
      <w:pPr>
        <w:pStyle w:val="Nadpis2"/>
      </w:pPr>
      <w:bookmarkStart w:id="24" w:name="_Toc100598815"/>
      <w:r>
        <w:t>Seznam vzájemných smluv mezi ovládanou osobou a ovládající osobou a mezi ovládanými osobami</w:t>
      </w:r>
      <w:bookmarkEnd w:id="24"/>
    </w:p>
    <w:p w14:paraId="1B087E84" w14:textId="30FAC576" w:rsidR="00B34BC5" w:rsidRDefault="00B34BC5" w:rsidP="00F000E1">
      <w:r>
        <w:t>Ovládající a ovládaná osoba nebo ovládaná osoba a subjekty ovládané stejnou ovládající osobou uzavřely následující smlouvy</w:t>
      </w:r>
      <w:r w:rsidR="00D003E4">
        <w:t>, které byly platné také ale</w:t>
      </w:r>
      <w:r w:rsidR="00AC5333">
        <w:t>spoň po určitou část účetního období</w:t>
      </w:r>
      <w:r>
        <w:t>:</w:t>
      </w:r>
    </w:p>
    <w:p w14:paraId="4AA03654" w14:textId="7CCB5FD6" w:rsidR="00B34BC5" w:rsidRDefault="00B34BC5" w:rsidP="00F000E1">
      <w:r>
        <w:t>•</w:t>
      </w:r>
      <w:r>
        <w:tab/>
        <w:t xml:space="preserve">Smlouva o poskytování služeb ze dne 1. července 2019 mezi Moventum S.C.A. a Moventum a.s. </w:t>
      </w:r>
      <w:r w:rsidR="00AC5333">
        <w:t>(</w:t>
      </w:r>
      <w:r>
        <w:t>Moventum</w:t>
      </w:r>
      <w:r w:rsidR="00AE031B">
        <w:t xml:space="preserve"> </w:t>
      </w:r>
      <w:r>
        <w:t xml:space="preserve">a.s. </w:t>
      </w:r>
      <w:r w:rsidR="00AE031B">
        <w:t xml:space="preserve">jako ovládaná osoba </w:t>
      </w:r>
      <w:r>
        <w:t>poskytuje služby společnosti Moventum S.C.A.</w:t>
      </w:r>
      <w:r w:rsidR="00AC5333">
        <w:t>)</w:t>
      </w:r>
    </w:p>
    <w:p w14:paraId="6455A295" w14:textId="2693A3A9" w:rsidR="00B34BC5" w:rsidRDefault="00B34BC5" w:rsidP="00F000E1">
      <w:r>
        <w:t>•</w:t>
      </w:r>
      <w:r>
        <w:tab/>
        <w:t xml:space="preserve">Smlouva o poskytování IT služeb ze dne 1. července 2019 mezi Moventum S.C.A. a Moventum a.s. </w:t>
      </w:r>
      <w:r w:rsidR="00153E07">
        <w:t>–</w:t>
      </w:r>
      <w:r>
        <w:t xml:space="preserve"> </w:t>
      </w:r>
      <w:r w:rsidR="00153E07">
        <w:t>(</w:t>
      </w:r>
      <w:r>
        <w:t>Moventum S.C</w:t>
      </w:r>
      <w:r w:rsidR="00AC5333">
        <w:t>.</w:t>
      </w:r>
      <w:r>
        <w:t>A</w:t>
      </w:r>
      <w:r w:rsidR="00AC5333">
        <w:t>.</w:t>
      </w:r>
      <w:r>
        <w:t xml:space="preserve"> </w:t>
      </w:r>
      <w:r w:rsidR="00153E07">
        <w:t xml:space="preserve">jako osoba ovládaná stejnou ovládající osobou </w:t>
      </w:r>
      <w:r>
        <w:t>poskytuje služby společnosti Moventum a.s.</w:t>
      </w:r>
      <w:r w:rsidR="00153E07">
        <w:t>)</w:t>
      </w:r>
    </w:p>
    <w:p w14:paraId="0EC53807" w14:textId="4AF4A26C" w:rsidR="00B34BC5" w:rsidRDefault="00AE031B" w:rsidP="003D202A">
      <w:pPr>
        <w:pStyle w:val="Nadpis2"/>
      </w:pPr>
      <w:bookmarkStart w:id="25" w:name="_Toc100598816"/>
      <w:r>
        <w:t>P</w:t>
      </w:r>
      <w:r w:rsidR="00B34BC5">
        <w:t>osouzení, zda byla ovládané osobě způsobena újma, a posouzení náhrady škody</w:t>
      </w:r>
      <w:bookmarkEnd w:id="25"/>
    </w:p>
    <w:p w14:paraId="16F58935" w14:textId="649D763E" w:rsidR="00867E97" w:rsidRPr="00867E97" w:rsidRDefault="00867E97" w:rsidP="00867E97">
      <w:pPr>
        <w:pStyle w:val="Poznmkapodarou"/>
      </w:pPr>
      <w:r>
        <w:t>podle § 71a 72 ZOK</w:t>
      </w:r>
    </w:p>
    <w:p w14:paraId="7341DA8E" w14:textId="77777777" w:rsidR="00B34BC5" w:rsidRDefault="00B34BC5" w:rsidP="00F000E1">
      <w:r>
        <w:t>Ovládané osobě nebyla v účetním období, pro které je tato zpráva o vztazích sestavována, způsobena žádná újma.</w:t>
      </w:r>
    </w:p>
    <w:p w14:paraId="50C64102" w14:textId="171B74D0" w:rsidR="00B34BC5" w:rsidRDefault="00B34BC5" w:rsidP="003D202A">
      <w:pPr>
        <w:pStyle w:val="Nadpis2"/>
      </w:pPr>
      <w:bookmarkStart w:id="26" w:name="_Toc100598817"/>
      <w:r>
        <w:t>Hodnocení výhod a nevýhod vyplývajících ze vztahů mezi ovládající osobou a ovládanou osobou a mezi ovládanou osobou a subjekty ovládanými stejnou ovládající osobou</w:t>
      </w:r>
      <w:bookmarkEnd w:id="26"/>
    </w:p>
    <w:p w14:paraId="2ACEC7E0" w14:textId="52A10409" w:rsidR="00B34BC5" w:rsidRDefault="00B34BC5" w:rsidP="00F000E1">
      <w:r>
        <w:t xml:space="preserve">Vztahy mezi ovládající osobou a ovládanou osobou a mezi ovládanou osobou a subjekty ovládanými stejnou ovládající osobou jsou z hlediska výhod neutrální a nevedly k žádnému </w:t>
      </w:r>
      <w:r w:rsidR="004676A5">
        <w:t xml:space="preserve">specifickému </w:t>
      </w:r>
      <w:r>
        <w:t>riziku pro ovládanou osobu.</w:t>
      </w:r>
    </w:p>
    <w:p w14:paraId="1BA65E56" w14:textId="1B5DBD2E" w:rsidR="00B34BC5" w:rsidRDefault="00167570" w:rsidP="00F000E1">
      <w:r>
        <w:t xml:space="preserve">Zpráva sestavena </w:t>
      </w:r>
      <w:r w:rsidR="00B34BC5">
        <w:t xml:space="preserve">dne </w:t>
      </w:r>
      <w:r>
        <w:t>31.3</w:t>
      </w:r>
      <w:r w:rsidR="00B34BC5">
        <w:t>.202</w:t>
      </w:r>
      <w:r w:rsidR="00D50F6A">
        <w:t>2</w:t>
      </w:r>
    </w:p>
    <w:p w14:paraId="0F42AC01" w14:textId="0D0EA9C6" w:rsidR="00B34BC5" w:rsidRDefault="00B34BC5" w:rsidP="00F000E1">
      <w:r>
        <w:t>Daniel Melichar</w:t>
      </w:r>
      <w:r w:rsidR="00D50F6A">
        <w:t>, člen představenstva Moventum a.s.</w:t>
      </w:r>
    </w:p>
    <w:p w14:paraId="5BA12222" w14:textId="77777777" w:rsidR="00857CB4" w:rsidRDefault="00857CB4">
      <w:pPr>
        <w:spacing w:before="0" w:after="120"/>
        <w:jc w:val="left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bookmarkStart w:id="27" w:name="_Toc100598818"/>
      <w:r>
        <w:br w:type="page"/>
      </w:r>
    </w:p>
    <w:p w14:paraId="7C99DC2F" w14:textId="23D27361" w:rsidR="00AE4944" w:rsidRDefault="00AE4944" w:rsidP="00464212">
      <w:pPr>
        <w:pStyle w:val="Nadpis1"/>
      </w:pPr>
      <w:r>
        <w:lastRenderedPageBreak/>
        <w:t>Zpráva nezávislého auditora k účetní závěrce</w:t>
      </w:r>
      <w:bookmarkEnd w:id="27"/>
    </w:p>
    <w:p w14:paraId="2FF056B8" w14:textId="77777777" w:rsidR="00AE4944" w:rsidRDefault="00AE4944" w:rsidP="00F000E1">
      <w:r>
        <w:t>Stanovisko auditora je uvedeno v příloze.</w:t>
      </w:r>
    </w:p>
    <w:p w14:paraId="32238C09" w14:textId="77777777" w:rsidR="001721BC" w:rsidRDefault="001721BC" w:rsidP="00F000E1"/>
    <w:p w14:paraId="18D47095" w14:textId="77777777" w:rsidR="001721BC" w:rsidRDefault="001721BC" w:rsidP="00F000E1"/>
    <w:p w14:paraId="4FFD2379" w14:textId="23A33277" w:rsidR="00AE4944" w:rsidRDefault="001721BC" w:rsidP="00F000E1">
      <w:r>
        <w:t>Andreas Pál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Melichar</w:t>
      </w:r>
    </w:p>
    <w:p w14:paraId="3D46C694" w14:textId="4951073D" w:rsidR="00AE4944" w:rsidRDefault="00AE4944" w:rsidP="00F000E1">
      <w:r>
        <w:t>předseda představenstva Moventum a.s.</w:t>
      </w:r>
      <w:r w:rsidR="001721BC">
        <w:tab/>
      </w:r>
      <w:r w:rsidR="001721BC">
        <w:tab/>
      </w:r>
      <w:r w:rsidR="001721BC">
        <w:tab/>
      </w:r>
      <w:r w:rsidR="001721BC">
        <w:tab/>
      </w:r>
      <w:r w:rsidR="001721BC">
        <w:tab/>
        <w:t>člen představenstva Moventum a.s.</w:t>
      </w:r>
    </w:p>
    <w:p w14:paraId="5F3CEBA3" w14:textId="77777777" w:rsidR="00AE4944" w:rsidRDefault="00AE4944" w:rsidP="00F000E1">
      <w:r>
        <w:t xml:space="preserve"> </w:t>
      </w:r>
    </w:p>
    <w:p w14:paraId="6D208344" w14:textId="77777777" w:rsidR="00BF7DE6" w:rsidRDefault="00BF7DE6" w:rsidP="00BF7DE6">
      <w:pPr>
        <w:pStyle w:val="Poznmkapodarou"/>
      </w:pPr>
    </w:p>
    <w:p w14:paraId="0B00D351" w14:textId="3B63577F" w:rsidR="00AE4944" w:rsidRDefault="00AE4944" w:rsidP="00BF7DE6">
      <w:pPr>
        <w:pStyle w:val="Poznmkapodarou"/>
      </w:pPr>
      <w:r>
        <w:t xml:space="preserve">Zpracováno v souladu s vyhláškou č. 501/2002 Sb. </w:t>
      </w:r>
      <w:r w:rsidR="001721BC">
        <w:t>v platném znění.</w:t>
      </w:r>
    </w:p>
    <w:p w14:paraId="66B32EB1" w14:textId="3F6C644A" w:rsidR="00AE4944" w:rsidRDefault="00AE4944" w:rsidP="00BF7DE6">
      <w:pPr>
        <w:pStyle w:val="Poznmkapodarou"/>
      </w:pPr>
      <w:r>
        <w:t>Podpisový záznam osoby zodpovědné za sestavení účetní závěrky</w:t>
      </w:r>
      <w:r w:rsidR="001721BC">
        <w:t>: Daniel Melichar, člen představenstva Moventum a.s.</w:t>
      </w:r>
      <w:r>
        <w:t xml:space="preserve"> </w:t>
      </w:r>
    </w:p>
    <w:sectPr w:rsidR="00AE4944" w:rsidSect="00531DDA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B911" w14:textId="77777777" w:rsidR="00086AD9" w:rsidRDefault="00086AD9" w:rsidP="00F000E1">
      <w:pPr>
        <w:spacing w:before="0" w:line="240" w:lineRule="auto"/>
      </w:pPr>
      <w:r>
        <w:separator/>
      </w:r>
    </w:p>
  </w:endnote>
  <w:endnote w:type="continuationSeparator" w:id="0">
    <w:p w14:paraId="299078D5" w14:textId="77777777" w:rsidR="00086AD9" w:rsidRDefault="00086AD9" w:rsidP="00F000E1">
      <w:pPr>
        <w:spacing w:before="0" w:line="240" w:lineRule="auto"/>
      </w:pPr>
      <w:r>
        <w:continuationSeparator/>
      </w:r>
    </w:p>
  </w:endnote>
  <w:endnote w:type="continuationNotice" w:id="1">
    <w:p w14:paraId="721E84B4" w14:textId="77777777" w:rsidR="00086AD9" w:rsidRDefault="00086AD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AC76" w14:textId="77777777" w:rsidR="00B92112" w:rsidRPr="00D5618F" w:rsidRDefault="00B92112" w:rsidP="00B92112">
    <w:pPr>
      <w:pStyle w:val="Zpat"/>
      <w:spacing w:before="120"/>
      <w:contextualSpacing/>
      <w:rPr>
        <w:sz w:val="16"/>
        <w:szCs w:val="16"/>
      </w:rPr>
    </w:pPr>
    <w:r w:rsidRPr="00D5618F">
      <w:rPr>
        <w:sz w:val="16"/>
        <w:szCs w:val="16"/>
      </w:rPr>
      <w:t>Moventum a.s., Bašty 413/2, Brno-město, 602 00 Brno, IČ 06413404</w:t>
    </w:r>
  </w:p>
  <w:p w14:paraId="79CF454B" w14:textId="0F34280E" w:rsidR="00B92112" w:rsidRPr="00B92112" w:rsidRDefault="00B92112">
    <w:pPr>
      <w:pStyle w:val="Zpat"/>
      <w:rPr>
        <w:sz w:val="18"/>
        <w:szCs w:val="18"/>
      </w:rPr>
    </w:pPr>
    <w:r w:rsidRPr="00D5618F">
      <w:rPr>
        <w:sz w:val="16"/>
        <w:szCs w:val="16"/>
      </w:rPr>
      <w:t>B 7826 vedená u Krajského soudu v Brně</w:t>
    </w:r>
    <w:r w:rsidRPr="00D5618F">
      <w:rPr>
        <w:sz w:val="16"/>
        <w:szCs w:val="16"/>
      </w:rPr>
      <w:ptab w:relativeTo="margin" w:alignment="right" w:leader="none"/>
    </w:r>
    <w:r w:rsidRPr="00D5618F">
      <w:rPr>
        <w:sz w:val="16"/>
        <w:szCs w:val="16"/>
      </w:rPr>
      <w:fldChar w:fldCharType="begin"/>
    </w:r>
    <w:r w:rsidRPr="00D5618F">
      <w:rPr>
        <w:sz w:val="16"/>
        <w:szCs w:val="16"/>
      </w:rPr>
      <w:instrText xml:space="preserve"> PAGE   \* MERGEFORMAT </w:instrText>
    </w:r>
    <w:r w:rsidRPr="00D5618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D5618F">
      <w:rPr>
        <w:sz w:val="16"/>
        <w:szCs w:val="16"/>
      </w:rPr>
      <w:fldChar w:fldCharType="end"/>
    </w:r>
    <w:r w:rsidRPr="00D5618F"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1CE" w14:textId="77777777" w:rsidR="00086AD9" w:rsidRDefault="00086AD9" w:rsidP="00F000E1">
      <w:pPr>
        <w:spacing w:before="0" w:line="240" w:lineRule="auto"/>
      </w:pPr>
      <w:r>
        <w:separator/>
      </w:r>
    </w:p>
  </w:footnote>
  <w:footnote w:type="continuationSeparator" w:id="0">
    <w:p w14:paraId="45C8DD6A" w14:textId="77777777" w:rsidR="00086AD9" w:rsidRDefault="00086AD9" w:rsidP="00F000E1">
      <w:pPr>
        <w:spacing w:before="0" w:line="240" w:lineRule="auto"/>
      </w:pPr>
      <w:r>
        <w:continuationSeparator/>
      </w:r>
    </w:p>
  </w:footnote>
  <w:footnote w:type="continuationNotice" w:id="1">
    <w:p w14:paraId="31063C5E" w14:textId="77777777" w:rsidR="00086AD9" w:rsidRDefault="00086AD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9242" w14:textId="1AF5E7A2" w:rsidR="00F000E1" w:rsidRDefault="00F000E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3EBFE" wp14:editId="227467FF">
          <wp:simplePos x="0" y="0"/>
          <wp:positionH relativeFrom="column">
            <wp:posOffset>4527550</wp:posOffset>
          </wp:positionH>
          <wp:positionV relativeFrom="paragraph">
            <wp:posOffset>-196215</wp:posOffset>
          </wp:positionV>
          <wp:extent cx="2109470" cy="158750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15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2E5"/>
    <w:multiLevelType w:val="hybridMultilevel"/>
    <w:tmpl w:val="ABD6AE96"/>
    <w:lvl w:ilvl="0" w:tplc="61C40D50">
      <w:start w:val="1"/>
      <w:numFmt w:val="decimal"/>
      <w:lvlText w:val="%1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39EA"/>
    <w:multiLevelType w:val="hybridMultilevel"/>
    <w:tmpl w:val="F3FCD41A"/>
    <w:lvl w:ilvl="0" w:tplc="C7C08726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656A1"/>
    <w:multiLevelType w:val="hybridMultilevel"/>
    <w:tmpl w:val="3B382284"/>
    <w:lvl w:ilvl="0" w:tplc="80F23B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06D3"/>
    <w:multiLevelType w:val="multilevel"/>
    <w:tmpl w:val="12A6DE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F66688"/>
    <w:multiLevelType w:val="hybridMultilevel"/>
    <w:tmpl w:val="7D76B964"/>
    <w:lvl w:ilvl="0" w:tplc="A5EAA6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653A"/>
    <w:multiLevelType w:val="hybridMultilevel"/>
    <w:tmpl w:val="0CE277E8"/>
    <w:lvl w:ilvl="0" w:tplc="707A6DDE">
      <w:start w:val="1"/>
      <w:numFmt w:val="decimal"/>
      <w:lvlText w:val="%1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6A85"/>
    <w:multiLevelType w:val="hybridMultilevel"/>
    <w:tmpl w:val="7BACF5EC"/>
    <w:lvl w:ilvl="0" w:tplc="A44EF2F6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E5C60DF"/>
    <w:multiLevelType w:val="hybridMultilevel"/>
    <w:tmpl w:val="6396E582"/>
    <w:lvl w:ilvl="0" w:tplc="60C03F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5532"/>
    <w:multiLevelType w:val="multilevel"/>
    <w:tmpl w:val="5FFE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C05E1D"/>
    <w:multiLevelType w:val="hybridMultilevel"/>
    <w:tmpl w:val="173CC430"/>
    <w:lvl w:ilvl="0" w:tplc="FBFE095C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66D33"/>
    <w:multiLevelType w:val="hybridMultilevel"/>
    <w:tmpl w:val="07165B56"/>
    <w:lvl w:ilvl="0" w:tplc="BC9E9F68">
      <w:start w:val="1"/>
      <w:numFmt w:val="decimal"/>
      <w:pStyle w:val="slovanodrky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CB190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1942">
    <w:abstractNumId w:val="0"/>
  </w:num>
  <w:num w:numId="2" w16cid:durableId="1819833914">
    <w:abstractNumId w:val="0"/>
  </w:num>
  <w:num w:numId="3" w16cid:durableId="843664472">
    <w:abstractNumId w:val="2"/>
  </w:num>
  <w:num w:numId="4" w16cid:durableId="611128730">
    <w:abstractNumId w:val="4"/>
  </w:num>
  <w:num w:numId="5" w16cid:durableId="679620474">
    <w:abstractNumId w:val="1"/>
  </w:num>
  <w:num w:numId="6" w16cid:durableId="1703941215">
    <w:abstractNumId w:val="8"/>
  </w:num>
  <w:num w:numId="7" w16cid:durableId="491991994">
    <w:abstractNumId w:val="5"/>
  </w:num>
  <w:num w:numId="8" w16cid:durableId="1811746602">
    <w:abstractNumId w:val="9"/>
  </w:num>
  <w:num w:numId="9" w16cid:durableId="982540842">
    <w:abstractNumId w:val="10"/>
  </w:num>
  <w:num w:numId="10" w16cid:durableId="575865011">
    <w:abstractNumId w:val="10"/>
  </w:num>
  <w:num w:numId="11" w16cid:durableId="1406146268">
    <w:abstractNumId w:val="10"/>
  </w:num>
  <w:num w:numId="12" w16cid:durableId="553201096">
    <w:abstractNumId w:val="10"/>
  </w:num>
  <w:num w:numId="13" w16cid:durableId="1000812596">
    <w:abstractNumId w:val="3"/>
  </w:num>
  <w:num w:numId="14" w16cid:durableId="349259259">
    <w:abstractNumId w:val="7"/>
  </w:num>
  <w:num w:numId="15" w16cid:durableId="188220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44"/>
    <w:rsid w:val="00003E80"/>
    <w:rsid w:val="00011CA7"/>
    <w:rsid w:val="0004373F"/>
    <w:rsid w:val="00073153"/>
    <w:rsid w:val="000776AD"/>
    <w:rsid w:val="000779F7"/>
    <w:rsid w:val="00086AD9"/>
    <w:rsid w:val="00087581"/>
    <w:rsid w:val="000952E8"/>
    <w:rsid w:val="000A0A6F"/>
    <w:rsid w:val="000A7D33"/>
    <w:rsid w:val="000B2450"/>
    <w:rsid w:val="000E4564"/>
    <w:rsid w:val="00115502"/>
    <w:rsid w:val="00115608"/>
    <w:rsid w:val="00122260"/>
    <w:rsid w:val="00132105"/>
    <w:rsid w:val="00153E07"/>
    <w:rsid w:val="0016322D"/>
    <w:rsid w:val="001637A2"/>
    <w:rsid w:val="001659EA"/>
    <w:rsid w:val="0016682A"/>
    <w:rsid w:val="00167570"/>
    <w:rsid w:val="001721BC"/>
    <w:rsid w:val="001819C9"/>
    <w:rsid w:val="00181AB7"/>
    <w:rsid w:val="00190E26"/>
    <w:rsid w:val="001A7B1B"/>
    <w:rsid w:val="001B2845"/>
    <w:rsid w:val="001B33C0"/>
    <w:rsid w:val="001C426A"/>
    <w:rsid w:val="001C7F04"/>
    <w:rsid w:val="001F0C81"/>
    <w:rsid w:val="00201500"/>
    <w:rsid w:val="0022029C"/>
    <w:rsid w:val="00255932"/>
    <w:rsid w:val="00262628"/>
    <w:rsid w:val="00267679"/>
    <w:rsid w:val="002818A7"/>
    <w:rsid w:val="00292C84"/>
    <w:rsid w:val="002C05E7"/>
    <w:rsid w:val="002E2D8E"/>
    <w:rsid w:val="002E4E4A"/>
    <w:rsid w:val="002F4E7B"/>
    <w:rsid w:val="00340762"/>
    <w:rsid w:val="00341A6C"/>
    <w:rsid w:val="00346762"/>
    <w:rsid w:val="00355955"/>
    <w:rsid w:val="00363441"/>
    <w:rsid w:val="00365AB7"/>
    <w:rsid w:val="00366D91"/>
    <w:rsid w:val="00382AF7"/>
    <w:rsid w:val="00386A64"/>
    <w:rsid w:val="00393E6E"/>
    <w:rsid w:val="003A129A"/>
    <w:rsid w:val="003A214D"/>
    <w:rsid w:val="003D202A"/>
    <w:rsid w:val="003D6A65"/>
    <w:rsid w:val="00407F43"/>
    <w:rsid w:val="00412F42"/>
    <w:rsid w:val="00437892"/>
    <w:rsid w:val="00440E14"/>
    <w:rsid w:val="00454AAB"/>
    <w:rsid w:val="00456BDA"/>
    <w:rsid w:val="00464212"/>
    <w:rsid w:val="00464C1E"/>
    <w:rsid w:val="004656F0"/>
    <w:rsid w:val="004676A5"/>
    <w:rsid w:val="00471CE8"/>
    <w:rsid w:val="00484E07"/>
    <w:rsid w:val="004A2E37"/>
    <w:rsid w:val="004A3B91"/>
    <w:rsid w:val="004C2469"/>
    <w:rsid w:val="004C2DA5"/>
    <w:rsid w:val="004C73AE"/>
    <w:rsid w:val="005022A0"/>
    <w:rsid w:val="00515EC4"/>
    <w:rsid w:val="0052012D"/>
    <w:rsid w:val="00531DDA"/>
    <w:rsid w:val="00560225"/>
    <w:rsid w:val="005A0573"/>
    <w:rsid w:val="005A06C3"/>
    <w:rsid w:val="005A20C5"/>
    <w:rsid w:val="005B7B29"/>
    <w:rsid w:val="005D1BB8"/>
    <w:rsid w:val="005E1360"/>
    <w:rsid w:val="005E653C"/>
    <w:rsid w:val="005E750D"/>
    <w:rsid w:val="005F5505"/>
    <w:rsid w:val="00603498"/>
    <w:rsid w:val="006302DC"/>
    <w:rsid w:val="006319A2"/>
    <w:rsid w:val="00633BB8"/>
    <w:rsid w:val="0063639E"/>
    <w:rsid w:val="00650FC6"/>
    <w:rsid w:val="0068282F"/>
    <w:rsid w:val="006B73E5"/>
    <w:rsid w:val="006C0CBB"/>
    <w:rsid w:val="006D0D2E"/>
    <w:rsid w:val="006D3252"/>
    <w:rsid w:val="006D52E9"/>
    <w:rsid w:val="006D76B9"/>
    <w:rsid w:val="006F3EC5"/>
    <w:rsid w:val="0073584A"/>
    <w:rsid w:val="0075064E"/>
    <w:rsid w:val="007676D0"/>
    <w:rsid w:val="00771B33"/>
    <w:rsid w:val="0078756D"/>
    <w:rsid w:val="007A6956"/>
    <w:rsid w:val="007B2756"/>
    <w:rsid w:val="007C176A"/>
    <w:rsid w:val="007D3F9C"/>
    <w:rsid w:val="007E30CC"/>
    <w:rsid w:val="007F1302"/>
    <w:rsid w:val="00812DF6"/>
    <w:rsid w:val="008167AA"/>
    <w:rsid w:val="00830776"/>
    <w:rsid w:val="00837C0F"/>
    <w:rsid w:val="00852B09"/>
    <w:rsid w:val="00856B9A"/>
    <w:rsid w:val="00857CB4"/>
    <w:rsid w:val="00860A0E"/>
    <w:rsid w:val="00867E97"/>
    <w:rsid w:val="008A1D9C"/>
    <w:rsid w:val="008A3EEC"/>
    <w:rsid w:val="008A4345"/>
    <w:rsid w:val="008B29D6"/>
    <w:rsid w:val="008D1E9D"/>
    <w:rsid w:val="008D2E3B"/>
    <w:rsid w:val="008F479D"/>
    <w:rsid w:val="009009E6"/>
    <w:rsid w:val="00904B1E"/>
    <w:rsid w:val="0092184C"/>
    <w:rsid w:val="00953D85"/>
    <w:rsid w:val="00972063"/>
    <w:rsid w:val="0097797F"/>
    <w:rsid w:val="0098496B"/>
    <w:rsid w:val="00991D27"/>
    <w:rsid w:val="009B31F7"/>
    <w:rsid w:val="009C0728"/>
    <w:rsid w:val="009C22FC"/>
    <w:rsid w:val="009C27E7"/>
    <w:rsid w:val="00A13ED2"/>
    <w:rsid w:val="00A26763"/>
    <w:rsid w:val="00A428BE"/>
    <w:rsid w:val="00A42DF8"/>
    <w:rsid w:val="00A56CFB"/>
    <w:rsid w:val="00A804BF"/>
    <w:rsid w:val="00A8543D"/>
    <w:rsid w:val="00A91E7B"/>
    <w:rsid w:val="00A96AAF"/>
    <w:rsid w:val="00AC5333"/>
    <w:rsid w:val="00AE031B"/>
    <w:rsid w:val="00AE2796"/>
    <w:rsid w:val="00AE4944"/>
    <w:rsid w:val="00B17DAD"/>
    <w:rsid w:val="00B252D4"/>
    <w:rsid w:val="00B26BF1"/>
    <w:rsid w:val="00B34BC5"/>
    <w:rsid w:val="00B37387"/>
    <w:rsid w:val="00B5788C"/>
    <w:rsid w:val="00B57D0B"/>
    <w:rsid w:val="00B6275E"/>
    <w:rsid w:val="00B72716"/>
    <w:rsid w:val="00B92112"/>
    <w:rsid w:val="00B95A56"/>
    <w:rsid w:val="00BC56F6"/>
    <w:rsid w:val="00BD4373"/>
    <w:rsid w:val="00BE4335"/>
    <w:rsid w:val="00BF10A6"/>
    <w:rsid w:val="00BF3B86"/>
    <w:rsid w:val="00BF4704"/>
    <w:rsid w:val="00BF7DE6"/>
    <w:rsid w:val="00C40BEC"/>
    <w:rsid w:val="00C51C6F"/>
    <w:rsid w:val="00C568CA"/>
    <w:rsid w:val="00C57B4C"/>
    <w:rsid w:val="00C63034"/>
    <w:rsid w:val="00C751E7"/>
    <w:rsid w:val="00C803C6"/>
    <w:rsid w:val="00C972E6"/>
    <w:rsid w:val="00CA051F"/>
    <w:rsid w:val="00CB6DFD"/>
    <w:rsid w:val="00CC1735"/>
    <w:rsid w:val="00CC4E6B"/>
    <w:rsid w:val="00CE4F56"/>
    <w:rsid w:val="00CF7C7E"/>
    <w:rsid w:val="00D003E4"/>
    <w:rsid w:val="00D26DA6"/>
    <w:rsid w:val="00D31353"/>
    <w:rsid w:val="00D31461"/>
    <w:rsid w:val="00D42E6B"/>
    <w:rsid w:val="00D50F6A"/>
    <w:rsid w:val="00D54165"/>
    <w:rsid w:val="00D64E6C"/>
    <w:rsid w:val="00DA5716"/>
    <w:rsid w:val="00DB3135"/>
    <w:rsid w:val="00DB368A"/>
    <w:rsid w:val="00DF0103"/>
    <w:rsid w:val="00DF10B3"/>
    <w:rsid w:val="00E13DA8"/>
    <w:rsid w:val="00E155BF"/>
    <w:rsid w:val="00E421DB"/>
    <w:rsid w:val="00E576ED"/>
    <w:rsid w:val="00E64F50"/>
    <w:rsid w:val="00E84F3F"/>
    <w:rsid w:val="00E90292"/>
    <w:rsid w:val="00EC1494"/>
    <w:rsid w:val="00ED50C1"/>
    <w:rsid w:val="00ED606F"/>
    <w:rsid w:val="00F000E1"/>
    <w:rsid w:val="00F15E9D"/>
    <w:rsid w:val="00F23A7D"/>
    <w:rsid w:val="00F36330"/>
    <w:rsid w:val="00F63C08"/>
    <w:rsid w:val="00FA27E6"/>
    <w:rsid w:val="00FA3566"/>
    <w:rsid w:val="00FC6C97"/>
    <w:rsid w:val="00FE0E37"/>
    <w:rsid w:val="00FE4FE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CD2CC"/>
  <w15:chartTrackingRefBased/>
  <w15:docId w15:val="{03050194-0865-4613-8EFC-825BB00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0E1"/>
    <w:pPr>
      <w:spacing w:before="120" w:after="0"/>
      <w:jc w:val="both"/>
    </w:pPr>
    <w:rPr>
      <w:sz w:val="20"/>
      <w:szCs w:val="20"/>
    </w:rPr>
  </w:style>
  <w:style w:type="paragraph" w:styleId="Nadpis1">
    <w:name w:val="heading 1"/>
    <w:next w:val="Normln"/>
    <w:link w:val="Nadpis1Char"/>
    <w:autoRedefine/>
    <w:uiPriority w:val="9"/>
    <w:qFormat/>
    <w:rsid w:val="00464212"/>
    <w:pPr>
      <w:keepNext/>
      <w:keepLines/>
      <w:pBdr>
        <w:bottom w:val="single" w:sz="4" w:space="1" w:color="4472C4" w:themeColor="accent1"/>
      </w:pBdr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Nadpis2">
    <w:name w:val="heading 2"/>
    <w:next w:val="Normln"/>
    <w:link w:val="Nadpis2Char"/>
    <w:uiPriority w:val="9"/>
    <w:unhideWhenUsed/>
    <w:qFormat/>
    <w:rsid w:val="008167AA"/>
    <w:pPr>
      <w:keepNext/>
      <w:keepLines/>
      <w:spacing w:before="240" w:line="259" w:lineRule="auto"/>
      <w:outlineLvl w:val="1"/>
    </w:pPr>
    <w:rPr>
      <w:rFonts w:asciiTheme="majorHAnsi" w:eastAsiaTheme="majorEastAsia" w:hAnsiTheme="majorHAnsi" w:cstheme="majorBidi"/>
      <w:smallCaps/>
      <w:color w:val="2F5496" w:themeColor="accent1" w:themeShade="BF"/>
      <w:sz w:val="24"/>
      <w:szCs w:val="24"/>
    </w:rPr>
  </w:style>
  <w:style w:type="paragraph" w:styleId="Nadpis3">
    <w:name w:val="heading 3"/>
    <w:basedOn w:val="Nadpis2"/>
    <w:next w:val="Normln"/>
    <w:link w:val="Nadpis3Char"/>
    <w:autoRedefine/>
    <w:uiPriority w:val="9"/>
    <w:unhideWhenUsed/>
    <w:qFormat/>
    <w:rsid w:val="0004373F"/>
    <w:pPr>
      <w:numPr>
        <w:ilvl w:val="2"/>
        <w:numId w:val="12"/>
      </w:numPr>
      <w:tabs>
        <w:tab w:val="left" w:pos="2268"/>
      </w:tabs>
      <w:spacing w:before="180" w:line="264" w:lineRule="auto"/>
      <w:ind w:left="567" w:hanging="567"/>
      <w:jc w:val="both"/>
      <w:outlineLvl w:val="2"/>
    </w:pPr>
    <w:rPr>
      <w:rFonts w:ascii="Calibri" w:hAnsi="Calibri" w:cs="Calibri"/>
      <w:color w:val="1F3763" w:themeColor="accent1" w:themeShade="7F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autoRedefine/>
    <w:uiPriority w:val="10"/>
    <w:qFormat/>
    <w:rsid w:val="00407F43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4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07F43"/>
    <w:rPr>
      <w:rFonts w:asciiTheme="majorHAnsi" w:eastAsiaTheme="majorEastAsia" w:hAnsiTheme="majorHAnsi" w:cstheme="majorBidi"/>
      <w:b/>
      <w:color w:val="2F5496" w:themeColor="accent1" w:themeShade="BF"/>
      <w:spacing w:val="-7"/>
      <w:sz w:val="40"/>
      <w:szCs w:val="80"/>
    </w:rPr>
  </w:style>
  <w:style w:type="character" w:customStyle="1" w:styleId="Nadpis1Char">
    <w:name w:val="Nadpis 1 Char"/>
    <w:basedOn w:val="Standardnpsmoodstavce"/>
    <w:link w:val="Nadpis1"/>
    <w:uiPriority w:val="9"/>
    <w:rsid w:val="00464212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Odstavecseseznamem">
    <w:name w:val="List Paragraph"/>
    <w:basedOn w:val="Normln"/>
    <w:autoRedefine/>
    <w:uiPriority w:val="34"/>
    <w:qFormat/>
    <w:rsid w:val="00201500"/>
    <w:pPr>
      <w:contextualSpacing/>
    </w:pPr>
  </w:style>
  <w:style w:type="paragraph" w:customStyle="1" w:styleId="Odrky">
    <w:name w:val="Odrážky"/>
    <w:link w:val="OdrkyChar"/>
    <w:autoRedefine/>
    <w:qFormat/>
    <w:rsid w:val="0063639E"/>
    <w:pPr>
      <w:numPr>
        <w:numId w:val="8"/>
      </w:numPr>
      <w:spacing w:before="80" w:after="160" w:line="259" w:lineRule="auto"/>
    </w:pPr>
    <w:rPr>
      <w:rFonts w:eastAsia="Times New Roman" w:cstheme="minorHAnsi"/>
      <w:sz w:val="20"/>
      <w:szCs w:val="20"/>
    </w:rPr>
  </w:style>
  <w:style w:type="character" w:customStyle="1" w:styleId="OdrkyChar">
    <w:name w:val="Odrážky Char"/>
    <w:basedOn w:val="Standardnpsmoodstavce"/>
    <w:link w:val="Odrky"/>
    <w:rsid w:val="0063639E"/>
    <w:rPr>
      <w:rFonts w:eastAsia="Times New Roman" w:cstheme="minorHAnsi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167AA"/>
    <w:rPr>
      <w:rFonts w:asciiTheme="majorHAnsi" w:eastAsiaTheme="majorEastAsia" w:hAnsiTheme="majorHAnsi" w:cstheme="majorBidi"/>
      <w:smallCaps/>
      <w:color w:val="2F5496" w:themeColor="accent1" w:themeShade="BF"/>
      <w:sz w:val="24"/>
      <w:szCs w:val="24"/>
    </w:rPr>
  </w:style>
  <w:style w:type="paragraph" w:customStyle="1" w:styleId="Poznmkapodarou">
    <w:name w:val="Poznámka pod čarou"/>
    <w:qFormat/>
    <w:rsid w:val="00D31353"/>
    <w:pPr>
      <w:shd w:val="clear" w:color="auto" w:fill="FFFFFF"/>
      <w:spacing w:line="259" w:lineRule="auto"/>
      <w:jc w:val="both"/>
    </w:pPr>
    <w:rPr>
      <w:rFonts w:eastAsiaTheme="majorEastAsia" w:cstheme="minorHAnsi"/>
      <w:sz w:val="16"/>
      <w:szCs w:val="16"/>
    </w:rPr>
  </w:style>
  <w:style w:type="paragraph" w:customStyle="1" w:styleId="Normln-neslovan">
    <w:name w:val="Normální - nečíslovaný"/>
    <w:autoRedefine/>
    <w:qFormat/>
    <w:rsid w:val="0063639E"/>
    <w:pPr>
      <w:spacing w:after="160" w:line="259" w:lineRule="auto"/>
      <w:ind w:left="-284"/>
    </w:pPr>
    <w:rPr>
      <w:rFonts w:eastAsia="Times New Roman" w:cstheme="minorHAnsi"/>
      <w:sz w:val="20"/>
      <w:szCs w:val="20"/>
    </w:rPr>
  </w:style>
  <w:style w:type="paragraph" w:customStyle="1" w:styleId="slovanodrky">
    <w:name w:val="Číslované odrážky"/>
    <w:autoRedefine/>
    <w:qFormat/>
    <w:rsid w:val="00456BDA"/>
    <w:pPr>
      <w:numPr>
        <w:numId w:val="12"/>
      </w:numPr>
      <w:tabs>
        <w:tab w:val="left" w:pos="851"/>
      </w:tabs>
      <w:spacing w:before="80" w:after="0" w:line="259" w:lineRule="auto"/>
    </w:pPr>
    <w:rPr>
      <w:rFonts w:eastAsia="Times New Roman" w:cstheme="minorHAnsi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04373F"/>
    <w:rPr>
      <w:rFonts w:ascii="Calibri" w:eastAsiaTheme="majorEastAsia" w:hAnsi="Calibri" w:cs="Calibri"/>
      <w:smallCaps/>
      <w:color w:val="1F3763" w:themeColor="accent1" w:themeShade="7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0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0E1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000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0E1"/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22260"/>
    <w:pPr>
      <w:pBdr>
        <w:bottom w:val="none" w:sz="0" w:space="0" w:color="auto"/>
      </w:pBdr>
      <w:spacing w:after="0" w:line="259" w:lineRule="auto"/>
      <w:jc w:val="left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226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2260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122260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122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B259E104B3E43A5C5199192BE4EB4" ma:contentTypeVersion="8" ma:contentTypeDescription="Vytvoří nový dokument" ma:contentTypeScope="" ma:versionID="173e181001e119a6f5f31313a79dff65">
  <xsd:schema xmlns:xsd="http://www.w3.org/2001/XMLSchema" xmlns:xs="http://www.w3.org/2001/XMLSchema" xmlns:p="http://schemas.microsoft.com/office/2006/metadata/properties" xmlns:ns2="442ac174-7577-4141-abee-08103d3724d4" targetNamespace="http://schemas.microsoft.com/office/2006/metadata/properties" ma:root="true" ma:fieldsID="7a732057a965bfc96c4c60169ad13f92" ns2:_="">
    <xsd:import namespace="442ac174-7577-4141-abee-08103d37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c174-7577-4141-abee-08103d372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008FB-E2F9-472D-A268-CA8430C7E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ac174-7577-4141-abee-08103d37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4CC98-32C3-44EC-BBC6-1733A7FFA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207A0-4DAE-41F9-A1BB-E8EDA894D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26C84-A097-4559-A3B9-3C357681E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2133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Melichar</dc:creator>
  <cp:keywords/>
  <dc:description/>
  <cp:lastModifiedBy>Daniel Melichar</cp:lastModifiedBy>
  <cp:revision>16</cp:revision>
  <dcterms:created xsi:type="dcterms:W3CDTF">2022-04-20T11:35:00Z</dcterms:created>
  <dcterms:modified xsi:type="dcterms:W3CDTF">2022-04-26T10:50:00Z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0x010100768B259E104B3E43A5C5199192BE4EB4</vt:lpwstr>
  </property>
</Properties>
</file>